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7A80" w14:textId="77777777" w:rsidR="00B42972" w:rsidRDefault="00B42972" w:rsidP="00B42972">
      <w:bookmarkStart w:id="0" w:name="_Toc22547298"/>
    </w:p>
    <w:p w14:paraId="621B2FE0" w14:textId="71EAF268" w:rsidR="00D16745" w:rsidRDefault="00D16745" w:rsidP="00045C26">
      <w:pPr>
        <w:pStyle w:val="Bodytext"/>
      </w:pPr>
    </w:p>
    <w:p w14:paraId="7AD29575" w14:textId="77777777" w:rsidR="0067169F" w:rsidRDefault="0067169F" w:rsidP="00045C26">
      <w:pPr>
        <w:pStyle w:val="Bodytext"/>
      </w:pPr>
    </w:p>
    <w:p w14:paraId="2C53181A" w14:textId="77777777" w:rsidR="00493561" w:rsidRDefault="00493561" w:rsidP="00E504AB">
      <w:pPr>
        <w:pStyle w:val="Title"/>
        <w:spacing w:after="120"/>
        <w:rPr>
          <w:rFonts w:ascii="Arial" w:hAnsi="Arial" w:cs="Arial"/>
          <w:b/>
          <w:bCs/>
          <w:sz w:val="40"/>
          <w:szCs w:val="40"/>
        </w:rPr>
      </w:pPr>
    </w:p>
    <w:p w14:paraId="1EB8395D" w14:textId="605C7580" w:rsidR="00E74989" w:rsidRPr="00E504AB" w:rsidRDefault="006415AE" w:rsidP="00E504AB">
      <w:pPr>
        <w:pStyle w:val="Title"/>
        <w:spacing w:after="120"/>
        <w:rPr>
          <w:rFonts w:ascii="Arial" w:hAnsi="Arial" w:cs="Arial"/>
          <w:b/>
          <w:sz w:val="60"/>
        </w:rPr>
      </w:pPr>
      <w:r w:rsidRPr="00E504AB">
        <w:rPr>
          <w:rFonts w:ascii="Arial" w:hAnsi="Arial" w:cs="Arial"/>
          <w:b/>
          <w:sz w:val="60"/>
        </w:rPr>
        <w:t>Scope of Practice</w:t>
      </w:r>
      <w:bookmarkEnd w:id="0"/>
    </w:p>
    <w:p w14:paraId="1C7D6959" w14:textId="77777777" w:rsidR="007C59B4" w:rsidRDefault="007C59B4" w:rsidP="00F26A14"/>
    <w:p w14:paraId="123F3687" w14:textId="77777777" w:rsidR="00DE6972" w:rsidRPr="007C59B4" w:rsidRDefault="007C59B4" w:rsidP="0067169F">
      <w:pPr>
        <w:pStyle w:val="Heading2"/>
      </w:pPr>
      <w:bookmarkStart w:id="1" w:name="_Toc42100147"/>
      <w:r w:rsidRPr="007C59B4">
        <w:t>Preamble</w:t>
      </w:r>
      <w:bookmarkEnd w:id="1"/>
    </w:p>
    <w:p w14:paraId="1E1B9F8E" w14:textId="3F2E07FC" w:rsidR="00DE6972" w:rsidRPr="0067169F" w:rsidRDefault="00DE6972" w:rsidP="00045C26">
      <w:pPr>
        <w:pStyle w:val="Bodytext"/>
      </w:pPr>
      <w:r w:rsidRPr="00493561">
        <w:t>This Scope of Practice is intended to provide a common language and framework to</w:t>
      </w:r>
      <w:r w:rsidR="007E4708" w:rsidRPr="00493561">
        <w:t xml:space="preserve"> </w:t>
      </w:r>
      <w:r w:rsidRPr="00493561">
        <w:t xml:space="preserve">interpret Orientation and Mobility (O&amp;M) professional practice in Australasia. It identifies foundation and regulatory documents that guide </w:t>
      </w:r>
      <w:r w:rsidR="00600819" w:rsidRPr="00493561">
        <w:t xml:space="preserve">O&amp;M </w:t>
      </w:r>
      <w:r w:rsidRPr="00493561">
        <w:t>service provision</w:t>
      </w:r>
      <w:r w:rsidR="005F0CD3" w:rsidRPr="00493561">
        <w:t>. I</w:t>
      </w:r>
      <w:r w:rsidRPr="00493561">
        <w:t xml:space="preserve">t distinguishes between the </w:t>
      </w:r>
      <w:r w:rsidR="003477A8" w:rsidRPr="00493561">
        <w:t>g</w:t>
      </w:r>
      <w:r w:rsidRPr="00493561">
        <w:t xml:space="preserve">eneral scope of practice of an </w:t>
      </w:r>
      <w:r w:rsidR="00F87FA0" w:rsidRPr="00493561">
        <w:t>O&amp;M Specialist</w:t>
      </w:r>
      <w:r w:rsidRPr="00493561">
        <w:t xml:space="preserve"> </w:t>
      </w:r>
      <w:r w:rsidR="00600819" w:rsidRPr="00493561">
        <w:t xml:space="preserve">just </w:t>
      </w:r>
      <w:r w:rsidRPr="00493561">
        <w:t>entering the profession</w:t>
      </w:r>
      <w:r w:rsidR="003477A8" w:rsidRPr="00493561">
        <w:t xml:space="preserve"> and</w:t>
      </w:r>
      <w:r w:rsidRPr="00493561">
        <w:t xml:space="preserve"> </w:t>
      </w:r>
      <w:r w:rsidR="005F0CD3" w:rsidRPr="00493561">
        <w:t>the scope of an</w:t>
      </w:r>
      <w:r w:rsidRPr="00493561">
        <w:t xml:space="preserve"> </w:t>
      </w:r>
      <w:r w:rsidR="003477A8" w:rsidRPr="00493561">
        <w:t>a</w:t>
      </w:r>
      <w:r w:rsidRPr="00493561">
        <w:t>dvanced</w:t>
      </w:r>
      <w:r w:rsidR="003477A8" w:rsidRPr="00493561">
        <w:t xml:space="preserve"> O&amp;M Specialist</w:t>
      </w:r>
      <w:r w:rsidR="006B429D" w:rsidRPr="00493561">
        <w:t xml:space="preserve">. It </w:t>
      </w:r>
      <w:r w:rsidR="003055D0" w:rsidRPr="00493561">
        <w:t xml:space="preserve">also </w:t>
      </w:r>
      <w:r w:rsidR="006B429D" w:rsidRPr="00493561">
        <w:t>outline</w:t>
      </w:r>
      <w:r w:rsidR="003055D0" w:rsidRPr="00493561">
        <w:t>s t</w:t>
      </w:r>
      <w:r w:rsidR="003477A8" w:rsidRPr="00493561">
        <w:t xml:space="preserve">he role of a </w:t>
      </w:r>
      <w:r w:rsidR="003055D0" w:rsidRPr="00493561">
        <w:t>d</w:t>
      </w:r>
      <w:r w:rsidR="003055D0" w:rsidRPr="0067169F">
        <w:t>ual</w:t>
      </w:r>
      <w:r w:rsidR="006F3F9E" w:rsidRPr="0067169F">
        <w:t>-</w:t>
      </w:r>
      <w:r w:rsidR="003055D0" w:rsidRPr="0067169F">
        <w:t xml:space="preserve">qualified </w:t>
      </w:r>
      <w:r w:rsidR="003477A8" w:rsidRPr="0067169F">
        <w:t>O&amp;M Specialist who is also registered to practi</w:t>
      </w:r>
      <w:r w:rsidR="00355665" w:rsidRPr="0067169F">
        <w:t>s</w:t>
      </w:r>
      <w:r w:rsidR="003477A8" w:rsidRPr="0067169F">
        <w:t>e in another profession</w:t>
      </w:r>
      <w:r w:rsidR="003055D0" w:rsidRPr="0067169F">
        <w:t>,</w:t>
      </w:r>
      <w:r w:rsidR="00201DB2" w:rsidRPr="0067169F">
        <w:t xml:space="preserve"> and a Guide Dog Mobility Instructor</w:t>
      </w:r>
      <w:r w:rsidR="005F0CD3" w:rsidRPr="0067169F">
        <w:t>. I</w:t>
      </w:r>
      <w:r w:rsidRPr="0067169F">
        <w:t xml:space="preserve">t describes </w:t>
      </w:r>
      <w:r w:rsidR="005F0CD3" w:rsidRPr="0067169F">
        <w:t>collaborative practice</w:t>
      </w:r>
      <w:r w:rsidR="006B429D" w:rsidRPr="0067169F">
        <w:t>,</w:t>
      </w:r>
      <w:r w:rsidR="005F0CD3" w:rsidRPr="0067169F">
        <w:t xml:space="preserve"> </w:t>
      </w:r>
      <w:r w:rsidRPr="0067169F">
        <w:t>the delegation of authority through referral or handover,</w:t>
      </w:r>
      <w:r w:rsidR="006B429D" w:rsidRPr="0067169F">
        <w:t xml:space="preserve"> and the</w:t>
      </w:r>
      <w:r w:rsidRPr="0067169F">
        <w:t xml:space="preserve"> supervision of </w:t>
      </w:r>
      <w:r w:rsidR="00C9045C" w:rsidRPr="0067169F">
        <w:t xml:space="preserve">O&amp;M </w:t>
      </w:r>
      <w:r w:rsidR="003F52FB" w:rsidRPr="0067169F">
        <w:t>support</w:t>
      </w:r>
      <w:r w:rsidR="009D6253" w:rsidRPr="0067169F">
        <w:t xml:space="preserve"> people</w:t>
      </w:r>
      <w:r w:rsidR="003F52FB" w:rsidRPr="0067169F">
        <w:t xml:space="preserve"> </w:t>
      </w:r>
      <w:r w:rsidRPr="0067169F">
        <w:t>and students.</w:t>
      </w:r>
    </w:p>
    <w:p w14:paraId="24C4BB24" w14:textId="19300C13" w:rsidR="009271A1" w:rsidRDefault="00DE6972" w:rsidP="00045C26">
      <w:pPr>
        <w:pStyle w:val="Bodytext"/>
      </w:pPr>
      <w:r w:rsidRPr="007C59B4">
        <w:t xml:space="preserve">The O&amp;M Scope of Practice can be used to inform practitioners, managers, academic course coordinators, employers, consumers, regulatory agencies, funding bodies, policy makers and others about the role of </w:t>
      </w:r>
      <w:r w:rsidR="00F87FA0">
        <w:t>O&amp;M Specialist</w:t>
      </w:r>
      <w:r w:rsidRPr="007C59B4">
        <w:t xml:space="preserve">s. It equips </w:t>
      </w:r>
      <w:r w:rsidR="00F87FA0">
        <w:t>O&amp;M Specialist</w:t>
      </w:r>
      <w:r w:rsidRPr="007C59B4">
        <w:t xml:space="preserve">s </w:t>
      </w:r>
      <w:r w:rsidR="007C2C57">
        <w:t>with</w:t>
      </w:r>
      <w:r w:rsidR="00E477C7">
        <w:t xml:space="preserve"> a framework</w:t>
      </w:r>
      <w:r w:rsidR="007C2C57">
        <w:t xml:space="preserve"> </w:t>
      </w:r>
      <w:r w:rsidRPr="007C59B4">
        <w:t>to critically reflect on their own O&amp;M practice, professional development and career progression.</w:t>
      </w:r>
    </w:p>
    <w:p w14:paraId="2A4C2288" w14:textId="77777777" w:rsidR="002461F1" w:rsidRPr="007E4708" w:rsidRDefault="0044368F" w:rsidP="0067169F">
      <w:pPr>
        <w:pStyle w:val="Heading2"/>
      </w:pPr>
      <w:bookmarkStart w:id="2" w:name="_Toc42100148"/>
      <w:r>
        <w:t>OMAA</w:t>
      </w:r>
      <w:bookmarkEnd w:id="2"/>
    </w:p>
    <w:p w14:paraId="5C58FE3D" w14:textId="4D2C6D5B" w:rsidR="008D4C1A" w:rsidRDefault="0044368F" w:rsidP="00045C26">
      <w:pPr>
        <w:pStyle w:val="Bodytext"/>
      </w:pPr>
      <w:r>
        <w:rPr>
          <w:lang w:val="en-US"/>
        </w:rPr>
        <w:t xml:space="preserve">The Orientation and Mobility Association of Australasia (OMAA) established in 2008, is </w:t>
      </w:r>
      <w:r w:rsidR="003055D0">
        <w:rPr>
          <w:lang w:val="en-US"/>
        </w:rPr>
        <w:t xml:space="preserve">the peak </w:t>
      </w:r>
      <w:r>
        <w:rPr>
          <w:lang w:val="en-US"/>
        </w:rPr>
        <w:t xml:space="preserve">professional body for </w:t>
      </w:r>
      <w:r w:rsidR="00F87FA0">
        <w:rPr>
          <w:lang w:val="en-US"/>
        </w:rPr>
        <w:t>O&amp;M Specialist</w:t>
      </w:r>
      <w:r>
        <w:rPr>
          <w:lang w:val="en-US"/>
        </w:rPr>
        <w:t>s in Australia, New Zealand and Pacific Island nations</w:t>
      </w:r>
      <w:r w:rsidR="003055D0" w:rsidRPr="003055D0">
        <w:t xml:space="preserve"> </w:t>
      </w:r>
      <w:r w:rsidR="003055D0">
        <w:t>including</w:t>
      </w:r>
      <w:r w:rsidR="003055D0" w:rsidRPr="0044368F">
        <w:t xml:space="preserve"> Papua New Guinea, Fiji, Solomon Islands, French Polynesia, New Caledonia, Vanuatu, Samoa, Federated States of Micronesia, Tonga, Kiribati, American Samoa, Marshall Islands, Palau, Cook Islands, Nauru, Tuvalu, and Niue (NZ).</w:t>
      </w:r>
      <w:r w:rsidR="003055D0">
        <w:t xml:space="preserve"> </w:t>
      </w:r>
    </w:p>
    <w:p w14:paraId="1A5F7878" w14:textId="4EFEBEB3" w:rsidR="00B4611A" w:rsidRDefault="003477A8" w:rsidP="00045C26">
      <w:pPr>
        <w:pStyle w:val="Bodytext"/>
        <w:rPr>
          <w:lang w:val="en-US"/>
        </w:rPr>
      </w:pPr>
      <w:r>
        <w:rPr>
          <w:lang w:val="en-US"/>
        </w:rPr>
        <w:t>As such, the OMAA</w:t>
      </w:r>
      <w:r w:rsidR="0044368F">
        <w:rPr>
          <w:lang w:val="en-US"/>
        </w:rPr>
        <w:t xml:space="preserve"> has responsibility to determine standards for O&amp;M qualifications, professional development and ongoing professional practice in the Australasian region. </w:t>
      </w:r>
      <w:r>
        <w:rPr>
          <w:lang w:val="en-US"/>
        </w:rPr>
        <w:t xml:space="preserve">The OMAA is governed by a constitution and led by a volunteer council and executive. </w:t>
      </w:r>
    </w:p>
    <w:p w14:paraId="1DE6C36E" w14:textId="77777777" w:rsidR="00045C26" w:rsidRPr="00E504AB" w:rsidRDefault="00045C26" w:rsidP="00045C26">
      <w:pPr>
        <w:pStyle w:val="Bodytext"/>
      </w:pPr>
    </w:p>
    <w:p w14:paraId="7928C5CF" w14:textId="77777777" w:rsidR="00AB4F47" w:rsidRDefault="00AB4F47" w:rsidP="0067169F">
      <w:pPr>
        <w:spacing w:before="120" w:after="0"/>
        <w:rPr>
          <w:rFonts w:ascii="Arial" w:hAnsi="Arial" w:cs="Arial"/>
        </w:rPr>
      </w:pPr>
    </w:p>
    <w:p w14:paraId="42654B12" w14:textId="77777777" w:rsidR="00AB4F47" w:rsidRDefault="00AB4F47" w:rsidP="0067169F">
      <w:pPr>
        <w:spacing w:before="120" w:after="0"/>
        <w:rPr>
          <w:rFonts w:ascii="Arial" w:hAnsi="Arial" w:cs="Arial"/>
        </w:rPr>
      </w:pPr>
    </w:p>
    <w:p w14:paraId="5885A3F2" w14:textId="77777777" w:rsidR="00AB4F47" w:rsidRDefault="00AB4F47" w:rsidP="0031193E">
      <w:pPr>
        <w:spacing w:before="120" w:after="0"/>
        <w:rPr>
          <w:rFonts w:ascii="Arial" w:hAnsi="Arial" w:cs="Arial"/>
        </w:rPr>
      </w:pPr>
    </w:p>
    <w:p w14:paraId="3D575CB8" w14:textId="4AB9E4A6" w:rsidR="0033063D" w:rsidRPr="00E504AB" w:rsidRDefault="00B4611A" w:rsidP="0031193E">
      <w:pPr>
        <w:spacing w:before="120" w:after="0"/>
        <w:rPr>
          <w:rFonts w:ascii="Arial" w:hAnsi="Arial" w:cs="Arial"/>
        </w:rPr>
      </w:pPr>
      <w:r w:rsidRPr="00E504AB">
        <w:rPr>
          <w:rFonts w:ascii="Arial" w:hAnsi="Arial" w:cs="Arial"/>
        </w:rPr>
        <w:t>Suggested c</w:t>
      </w:r>
      <w:r w:rsidR="007C59B4" w:rsidRPr="00E504AB">
        <w:rPr>
          <w:rFonts w:ascii="Arial" w:hAnsi="Arial" w:cs="Arial"/>
        </w:rPr>
        <w:t>itation:</w:t>
      </w:r>
      <w:r w:rsidR="00D54A64" w:rsidRPr="00E504AB">
        <w:rPr>
          <w:rFonts w:ascii="Arial" w:hAnsi="Arial" w:cs="Arial"/>
        </w:rPr>
        <w:t xml:space="preserve"> </w:t>
      </w:r>
    </w:p>
    <w:p w14:paraId="5B8CCA5F" w14:textId="09313765" w:rsidR="007C59B4" w:rsidRDefault="007C59B4" w:rsidP="0031193E">
      <w:pPr>
        <w:spacing w:before="120" w:after="0"/>
        <w:rPr>
          <w:rFonts w:ascii="Arial" w:hAnsi="Arial" w:cs="Arial"/>
        </w:rPr>
      </w:pPr>
      <w:r w:rsidRPr="00E504AB">
        <w:rPr>
          <w:rFonts w:ascii="Arial" w:hAnsi="Arial" w:cs="Arial"/>
        </w:rPr>
        <w:t>Orientation and Mobility Association of Australasia. (20</w:t>
      </w:r>
      <w:r w:rsidR="00EB0EC6" w:rsidRPr="00E504AB">
        <w:rPr>
          <w:rFonts w:ascii="Arial" w:hAnsi="Arial" w:cs="Arial"/>
        </w:rPr>
        <w:t>20</w:t>
      </w:r>
      <w:r w:rsidRPr="00E504AB">
        <w:rPr>
          <w:rFonts w:ascii="Arial" w:hAnsi="Arial" w:cs="Arial"/>
        </w:rPr>
        <w:t xml:space="preserve">). </w:t>
      </w:r>
      <w:r w:rsidRPr="00E504AB">
        <w:rPr>
          <w:rFonts w:ascii="Arial" w:hAnsi="Arial" w:cs="Arial"/>
          <w:i/>
        </w:rPr>
        <w:t>O</w:t>
      </w:r>
      <w:r w:rsidR="00504567" w:rsidRPr="00E504AB">
        <w:rPr>
          <w:rFonts w:ascii="Arial" w:hAnsi="Arial" w:cs="Arial"/>
          <w:i/>
        </w:rPr>
        <w:t>rientation and Mobility</w:t>
      </w:r>
      <w:r w:rsidRPr="00E504AB">
        <w:rPr>
          <w:rFonts w:ascii="Arial" w:hAnsi="Arial" w:cs="Arial"/>
          <w:i/>
        </w:rPr>
        <w:t xml:space="preserve"> Scope of Practice.</w:t>
      </w:r>
      <w:r w:rsidRPr="00E504AB">
        <w:rPr>
          <w:rFonts w:ascii="Arial" w:hAnsi="Arial" w:cs="Arial"/>
        </w:rPr>
        <w:t xml:space="preserve"> </w:t>
      </w:r>
      <w:hyperlink r:id="rId12" w:history="1">
        <w:r w:rsidR="004D3374" w:rsidRPr="00E504AB">
          <w:rPr>
            <w:rStyle w:val="Hyperlink"/>
            <w:rFonts w:ascii="Arial" w:hAnsi="Arial" w:cs="Arial"/>
          </w:rPr>
          <w:t>www.omaaustralasia.com/about/quality-framework/</w:t>
        </w:r>
      </w:hyperlink>
      <w:r w:rsidR="004D3374" w:rsidRPr="00E504AB">
        <w:rPr>
          <w:rFonts w:ascii="Arial" w:hAnsi="Arial" w:cs="Arial"/>
        </w:rPr>
        <w:t xml:space="preserve"> </w:t>
      </w:r>
    </w:p>
    <w:p w14:paraId="20301EDC" w14:textId="77777777" w:rsidR="0031193E" w:rsidRPr="00E504AB" w:rsidRDefault="0031193E" w:rsidP="0031193E">
      <w:pPr>
        <w:spacing w:before="360" w:after="0"/>
        <w:rPr>
          <w:rFonts w:ascii="Arial" w:hAnsi="Arial" w:cs="Arial"/>
        </w:rPr>
      </w:pPr>
      <w:r w:rsidRPr="00E504AB">
        <w:rPr>
          <w:rFonts w:ascii="Arial" w:hAnsi="Arial" w:cs="Arial"/>
        </w:rPr>
        <w:t xml:space="preserve">© OMAA 2020. </w:t>
      </w:r>
      <w:hyperlink r:id="rId13" w:history="1">
        <w:r w:rsidRPr="00E504AB">
          <w:rPr>
            <w:rStyle w:val="Hyperlink"/>
            <w:rFonts w:ascii="Arial" w:hAnsi="Arial" w:cs="Arial"/>
          </w:rPr>
          <w:t>www.omaaustralasia.com</w:t>
        </w:r>
      </w:hyperlink>
    </w:p>
    <w:p w14:paraId="433C7BF3" w14:textId="77777777" w:rsidR="00E74989" w:rsidRPr="00E74989" w:rsidRDefault="007C59B4" w:rsidP="0031193E">
      <w:pPr>
        <w:pStyle w:val="Heading2"/>
      </w:pPr>
      <w:r>
        <w:br w:type="page"/>
      </w:r>
      <w:bookmarkStart w:id="3" w:name="_Toc42100149"/>
      <w:r w:rsidR="001626A3">
        <w:lastRenderedPageBreak/>
        <w:t>Table of c</w:t>
      </w:r>
      <w:r w:rsidR="00E74989" w:rsidRPr="00E74989">
        <w:t>ontent</w:t>
      </w:r>
      <w:r w:rsidR="002C2292">
        <w:t>s</w:t>
      </w:r>
      <w:bookmarkEnd w:id="3"/>
    </w:p>
    <w:p w14:paraId="52556BE2" w14:textId="2A0CF06D" w:rsidR="00EC264D" w:rsidRPr="00EC264D" w:rsidRDefault="00BA7A85">
      <w:pPr>
        <w:pStyle w:val="TOC2"/>
        <w:rPr>
          <w:rFonts w:ascii="Arial" w:eastAsiaTheme="minorEastAsia" w:hAnsi="Arial" w:cs="Arial"/>
          <w:noProof/>
          <w:sz w:val="24"/>
          <w:szCs w:val="24"/>
          <w:lang w:eastAsia="en-AU"/>
        </w:rPr>
      </w:pPr>
      <w:hyperlink w:anchor="_Toc42100147" w:history="1">
        <w:r w:rsidR="00EC264D" w:rsidRPr="00EC264D">
          <w:rPr>
            <w:rStyle w:val="Hyperlink"/>
            <w:rFonts w:ascii="Arial" w:hAnsi="Arial" w:cs="Arial"/>
            <w:noProof/>
            <w:sz w:val="24"/>
            <w:szCs w:val="24"/>
          </w:rPr>
          <w:t>Preamble</w:t>
        </w:r>
        <w:r w:rsidR="00EC264D" w:rsidRPr="00EC264D">
          <w:rPr>
            <w:rFonts w:ascii="Arial" w:hAnsi="Arial" w:cs="Arial"/>
            <w:noProof/>
            <w:webHidden/>
            <w:sz w:val="24"/>
            <w:szCs w:val="24"/>
          </w:rPr>
          <w:tab/>
        </w:r>
        <w:r w:rsidR="00EC264D" w:rsidRPr="00EC264D">
          <w:rPr>
            <w:rFonts w:ascii="Arial" w:hAnsi="Arial" w:cs="Arial"/>
            <w:noProof/>
            <w:webHidden/>
            <w:sz w:val="24"/>
            <w:szCs w:val="24"/>
          </w:rPr>
          <w:fldChar w:fldCharType="begin"/>
        </w:r>
        <w:r w:rsidR="00EC264D" w:rsidRPr="00EC264D">
          <w:rPr>
            <w:rFonts w:ascii="Arial" w:hAnsi="Arial" w:cs="Arial"/>
            <w:noProof/>
            <w:webHidden/>
            <w:sz w:val="24"/>
            <w:szCs w:val="24"/>
          </w:rPr>
          <w:instrText xml:space="preserve"> PAGEREF _Toc42100147 \h </w:instrText>
        </w:r>
        <w:r w:rsidR="00EC264D" w:rsidRPr="00EC264D">
          <w:rPr>
            <w:rFonts w:ascii="Arial" w:hAnsi="Arial" w:cs="Arial"/>
            <w:noProof/>
            <w:webHidden/>
            <w:sz w:val="24"/>
            <w:szCs w:val="24"/>
          </w:rPr>
        </w:r>
        <w:r w:rsidR="00EC264D" w:rsidRPr="00EC264D">
          <w:rPr>
            <w:rFonts w:ascii="Arial" w:hAnsi="Arial" w:cs="Arial"/>
            <w:noProof/>
            <w:webHidden/>
            <w:sz w:val="24"/>
            <w:szCs w:val="24"/>
          </w:rPr>
          <w:fldChar w:fldCharType="separate"/>
        </w:r>
        <w:r w:rsidR="00EC264D" w:rsidRPr="00EC264D">
          <w:rPr>
            <w:rFonts w:ascii="Arial" w:hAnsi="Arial" w:cs="Arial"/>
            <w:noProof/>
            <w:webHidden/>
            <w:sz w:val="24"/>
            <w:szCs w:val="24"/>
          </w:rPr>
          <w:t>1</w:t>
        </w:r>
        <w:r w:rsidR="00EC264D" w:rsidRPr="00EC264D">
          <w:rPr>
            <w:rFonts w:ascii="Arial" w:hAnsi="Arial" w:cs="Arial"/>
            <w:noProof/>
            <w:webHidden/>
            <w:sz w:val="24"/>
            <w:szCs w:val="24"/>
          </w:rPr>
          <w:fldChar w:fldCharType="end"/>
        </w:r>
      </w:hyperlink>
    </w:p>
    <w:p w14:paraId="3218A0E8" w14:textId="7AFF23FF" w:rsidR="00EC264D" w:rsidRPr="00EC264D" w:rsidRDefault="00BA7A85">
      <w:pPr>
        <w:pStyle w:val="TOC2"/>
        <w:rPr>
          <w:rFonts w:ascii="Arial" w:eastAsiaTheme="minorEastAsia" w:hAnsi="Arial" w:cs="Arial"/>
          <w:noProof/>
          <w:sz w:val="24"/>
          <w:szCs w:val="24"/>
          <w:lang w:eastAsia="en-AU"/>
        </w:rPr>
      </w:pPr>
      <w:hyperlink w:anchor="_Toc42100148" w:history="1">
        <w:r w:rsidR="00EC264D" w:rsidRPr="00EC264D">
          <w:rPr>
            <w:rStyle w:val="Hyperlink"/>
            <w:rFonts w:ascii="Arial" w:hAnsi="Arial" w:cs="Arial"/>
            <w:noProof/>
            <w:sz w:val="24"/>
            <w:szCs w:val="24"/>
          </w:rPr>
          <w:t>OMAA</w:t>
        </w:r>
        <w:r w:rsidR="00EC264D" w:rsidRPr="00EC264D">
          <w:rPr>
            <w:rFonts w:ascii="Arial" w:hAnsi="Arial" w:cs="Arial"/>
            <w:noProof/>
            <w:webHidden/>
            <w:sz w:val="24"/>
            <w:szCs w:val="24"/>
          </w:rPr>
          <w:tab/>
          <w:t>1</w:t>
        </w:r>
      </w:hyperlink>
    </w:p>
    <w:p w14:paraId="75E1BC05" w14:textId="2F6D0A50" w:rsidR="00EC264D" w:rsidRPr="00EC264D" w:rsidRDefault="00BA7A85">
      <w:pPr>
        <w:pStyle w:val="TOC2"/>
        <w:rPr>
          <w:rFonts w:ascii="Arial" w:eastAsiaTheme="minorEastAsia" w:hAnsi="Arial" w:cs="Arial"/>
          <w:noProof/>
          <w:sz w:val="24"/>
          <w:szCs w:val="24"/>
          <w:lang w:eastAsia="en-AU"/>
        </w:rPr>
      </w:pPr>
      <w:hyperlink w:anchor="_Toc42100149" w:history="1">
        <w:r w:rsidR="00EC264D" w:rsidRPr="00EC264D">
          <w:rPr>
            <w:rStyle w:val="Hyperlink"/>
            <w:rFonts w:ascii="Arial" w:hAnsi="Arial" w:cs="Arial"/>
            <w:noProof/>
            <w:sz w:val="24"/>
            <w:szCs w:val="24"/>
          </w:rPr>
          <w:t>Table of contents</w:t>
        </w:r>
        <w:r w:rsidR="00EC264D" w:rsidRPr="00EC264D">
          <w:rPr>
            <w:rFonts w:ascii="Arial" w:hAnsi="Arial" w:cs="Arial"/>
            <w:noProof/>
            <w:webHidden/>
            <w:sz w:val="24"/>
            <w:szCs w:val="24"/>
          </w:rPr>
          <w:tab/>
          <w:t>2</w:t>
        </w:r>
      </w:hyperlink>
    </w:p>
    <w:p w14:paraId="6FF7008D" w14:textId="110AB9FA" w:rsidR="00EC264D" w:rsidRPr="00EC264D" w:rsidRDefault="00BA7A85">
      <w:pPr>
        <w:pStyle w:val="TOC1"/>
        <w:rPr>
          <w:rFonts w:ascii="Arial" w:eastAsiaTheme="minorEastAsia" w:hAnsi="Arial" w:cs="Arial"/>
          <w:noProof/>
          <w:sz w:val="24"/>
          <w:szCs w:val="24"/>
          <w:lang w:eastAsia="en-AU"/>
        </w:rPr>
      </w:pPr>
      <w:hyperlink w:anchor="_Toc42100150" w:history="1">
        <w:r w:rsidR="00EC264D" w:rsidRPr="00EC264D">
          <w:rPr>
            <w:rStyle w:val="Hyperlink"/>
            <w:rFonts w:ascii="Arial" w:hAnsi="Arial" w:cs="Arial"/>
            <w:noProof/>
            <w:sz w:val="24"/>
            <w:szCs w:val="24"/>
          </w:rPr>
          <w:t>1.</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O&amp;M Practice within the Australasian context</w:t>
        </w:r>
        <w:r w:rsidR="00EC264D" w:rsidRPr="00EC264D">
          <w:rPr>
            <w:rFonts w:ascii="Arial" w:hAnsi="Arial" w:cs="Arial"/>
            <w:noProof/>
            <w:webHidden/>
            <w:sz w:val="24"/>
            <w:szCs w:val="24"/>
          </w:rPr>
          <w:tab/>
          <w:t>3</w:t>
        </w:r>
      </w:hyperlink>
    </w:p>
    <w:p w14:paraId="71DD216C" w14:textId="68B5C86B" w:rsidR="00EC264D" w:rsidRPr="00EC264D" w:rsidRDefault="00BA7A85">
      <w:pPr>
        <w:pStyle w:val="TOC2"/>
        <w:rPr>
          <w:rFonts w:ascii="Arial" w:eastAsiaTheme="minorEastAsia" w:hAnsi="Arial" w:cs="Arial"/>
          <w:noProof/>
          <w:sz w:val="24"/>
          <w:szCs w:val="24"/>
          <w:lang w:eastAsia="en-AU"/>
        </w:rPr>
      </w:pPr>
      <w:hyperlink w:anchor="_Toc42100151" w:history="1">
        <w:r w:rsidR="00EC264D" w:rsidRPr="00EC264D">
          <w:rPr>
            <w:rStyle w:val="Hyperlink"/>
            <w:rFonts w:ascii="Arial" w:hAnsi="Arial" w:cs="Arial"/>
            <w:noProof/>
            <w:sz w:val="24"/>
            <w:szCs w:val="24"/>
          </w:rPr>
          <w:t>Populations served – Clients and communities</w:t>
        </w:r>
        <w:r w:rsidR="00EC264D" w:rsidRPr="00EC264D">
          <w:rPr>
            <w:rFonts w:ascii="Arial" w:hAnsi="Arial" w:cs="Arial"/>
            <w:noProof/>
            <w:webHidden/>
            <w:sz w:val="24"/>
            <w:szCs w:val="24"/>
          </w:rPr>
          <w:tab/>
          <w:t>3</w:t>
        </w:r>
      </w:hyperlink>
    </w:p>
    <w:p w14:paraId="4B582458" w14:textId="3963E497" w:rsidR="00EC264D" w:rsidRPr="00EC264D" w:rsidRDefault="00BA7A85">
      <w:pPr>
        <w:pStyle w:val="TOC2"/>
        <w:rPr>
          <w:rFonts w:ascii="Arial" w:eastAsiaTheme="minorEastAsia" w:hAnsi="Arial" w:cs="Arial"/>
          <w:noProof/>
          <w:sz w:val="24"/>
          <w:szCs w:val="24"/>
          <w:lang w:eastAsia="en-AU"/>
        </w:rPr>
      </w:pPr>
      <w:hyperlink w:anchor="_Toc42100152" w:history="1">
        <w:r w:rsidR="00EC264D" w:rsidRPr="00EC264D">
          <w:rPr>
            <w:rStyle w:val="Hyperlink"/>
            <w:rFonts w:ascii="Arial" w:hAnsi="Arial" w:cs="Arial"/>
            <w:noProof/>
            <w:sz w:val="24"/>
            <w:szCs w:val="24"/>
          </w:rPr>
          <w:t>O&amp;M service providers – Individuals and employers</w:t>
        </w:r>
        <w:r w:rsidR="00EC264D" w:rsidRPr="00EC264D">
          <w:rPr>
            <w:rFonts w:ascii="Arial" w:hAnsi="Arial" w:cs="Arial"/>
            <w:noProof/>
            <w:webHidden/>
            <w:sz w:val="24"/>
            <w:szCs w:val="24"/>
          </w:rPr>
          <w:tab/>
          <w:t>4</w:t>
        </w:r>
      </w:hyperlink>
    </w:p>
    <w:p w14:paraId="0F772468" w14:textId="2C9E03E2" w:rsidR="00EC264D" w:rsidRPr="00EC264D" w:rsidRDefault="00BA7A85">
      <w:pPr>
        <w:pStyle w:val="TOC2"/>
        <w:rPr>
          <w:rFonts w:ascii="Arial" w:eastAsiaTheme="minorEastAsia" w:hAnsi="Arial" w:cs="Arial"/>
          <w:noProof/>
          <w:sz w:val="24"/>
          <w:szCs w:val="24"/>
          <w:lang w:eastAsia="en-AU"/>
        </w:rPr>
      </w:pPr>
      <w:hyperlink w:anchor="_Toc42100153" w:history="1">
        <w:r w:rsidR="00EC264D" w:rsidRPr="00EC264D">
          <w:rPr>
            <w:rStyle w:val="Hyperlink"/>
            <w:rFonts w:ascii="Arial" w:hAnsi="Arial" w:cs="Arial"/>
            <w:noProof/>
            <w:sz w:val="24"/>
            <w:szCs w:val="24"/>
          </w:rPr>
          <w:t>O&amp;M service models</w:t>
        </w:r>
        <w:r w:rsidR="00EC264D" w:rsidRPr="00EC264D">
          <w:rPr>
            <w:rFonts w:ascii="Arial" w:hAnsi="Arial" w:cs="Arial"/>
            <w:noProof/>
            <w:webHidden/>
            <w:sz w:val="24"/>
            <w:szCs w:val="24"/>
          </w:rPr>
          <w:tab/>
          <w:t>4</w:t>
        </w:r>
      </w:hyperlink>
    </w:p>
    <w:p w14:paraId="68BC547D" w14:textId="71DFE1F7" w:rsidR="00EC264D" w:rsidRPr="00EC264D" w:rsidRDefault="00BA7A85">
      <w:pPr>
        <w:pStyle w:val="TOC1"/>
        <w:rPr>
          <w:rFonts w:ascii="Arial" w:eastAsiaTheme="minorEastAsia" w:hAnsi="Arial" w:cs="Arial"/>
          <w:noProof/>
          <w:sz w:val="24"/>
          <w:szCs w:val="24"/>
          <w:lang w:eastAsia="en-AU"/>
        </w:rPr>
      </w:pPr>
      <w:hyperlink w:anchor="_Toc42100154" w:history="1">
        <w:r w:rsidR="00EC264D" w:rsidRPr="00EC264D">
          <w:rPr>
            <w:rStyle w:val="Hyperlink"/>
            <w:rFonts w:ascii="Arial" w:hAnsi="Arial" w:cs="Arial"/>
            <w:noProof/>
            <w:sz w:val="24"/>
            <w:szCs w:val="24"/>
          </w:rPr>
          <w:t>2.</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Regulatory Frameworks</w:t>
        </w:r>
        <w:r w:rsidR="00EC264D" w:rsidRPr="00EC264D">
          <w:rPr>
            <w:rFonts w:ascii="Arial" w:hAnsi="Arial" w:cs="Arial"/>
            <w:noProof/>
            <w:webHidden/>
            <w:sz w:val="24"/>
            <w:szCs w:val="24"/>
          </w:rPr>
          <w:tab/>
          <w:t>5</w:t>
        </w:r>
      </w:hyperlink>
    </w:p>
    <w:p w14:paraId="1C022DC8" w14:textId="19816453" w:rsidR="00EC264D" w:rsidRPr="00EC264D" w:rsidRDefault="00BA7A85">
      <w:pPr>
        <w:pStyle w:val="TOC2"/>
        <w:rPr>
          <w:rFonts w:ascii="Arial" w:eastAsiaTheme="minorEastAsia" w:hAnsi="Arial" w:cs="Arial"/>
          <w:noProof/>
          <w:sz w:val="24"/>
          <w:szCs w:val="24"/>
          <w:lang w:eastAsia="en-AU"/>
        </w:rPr>
      </w:pPr>
      <w:hyperlink w:anchor="_Toc42100155" w:history="1">
        <w:r w:rsidR="00EC264D" w:rsidRPr="00EC264D">
          <w:rPr>
            <w:rStyle w:val="Hyperlink"/>
            <w:rFonts w:ascii="Arial" w:hAnsi="Arial" w:cs="Arial"/>
            <w:noProof/>
            <w:sz w:val="24"/>
            <w:szCs w:val="24"/>
          </w:rPr>
          <w:t>Internationally</w:t>
        </w:r>
        <w:r w:rsidR="00EC264D" w:rsidRPr="00EC264D">
          <w:rPr>
            <w:rFonts w:ascii="Arial" w:hAnsi="Arial" w:cs="Arial"/>
            <w:noProof/>
            <w:webHidden/>
            <w:sz w:val="24"/>
            <w:szCs w:val="24"/>
          </w:rPr>
          <w:tab/>
          <w:t>5</w:t>
        </w:r>
      </w:hyperlink>
    </w:p>
    <w:p w14:paraId="1AA31A7D" w14:textId="679F6FDD" w:rsidR="00EC264D" w:rsidRPr="00EC264D" w:rsidRDefault="00BA7A85">
      <w:pPr>
        <w:pStyle w:val="TOC2"/>
        <w:rPr>
          <w:rFonts w:ascii="Arial" w:eastAsiaTheme="minorEastAsia" w:hAnsi="Arial" w:cs="Arial"/>
          <w:noProof/>
          <w:sz w:val="24"/>
          <w:szCs w:val="24"/>
          <w:lang w:eastAsia="en-AU"/>
        </w:rPr>
      </w:pPr>
      <w:hyperlink w:anchor="_Toc42100156" w:history="1">
        <w:r w:rsidR="00EC264D" w:rsidRPr="00EC264D">
          <w:rPr>
            <w:rStyle w:val="Hyperlink"/>
            <w:rFonts w:ascii="Arial" w:hAnsi="Arial" w:cs="Arial"/>
            <w:noProof/>
            <w:sz w:val="24"/>
            <w:szCs w:val="24"/>
          </w:rPr>
          <w:t>Australia</w:t>
        </w:r>
        <w:r w:rsidR="00EC264D" w:rsidRPr="00EC264D">
          <w:rPr>
            <w:rFonts w:ascii="Arial" w:hAnsi="Arial" w:cs="Arial"/>
            <w:noProof/>
            <w:webHidden/>
            <w:sz w:val="24"/>
            <w:szCs w:val="24"/>
          </w:rPr>
          <w:tab/>
          <w:t>5</w:t>
        </w:r>
      </w:hyperlink>
    </w:p>
    <w:p w14:paraId="7E3BF629" w14:textId="2C4A370B" w:rsidR="00EC264D" w:rsidRPr="00EC264D" w:rsidRDefault="00BA7A85">
      <w:pPr>
        <w:pStyle w:val="TOC2"/>
        <w:rPr>
          <w:rFonts w:ascii="Arial" w:eastAsiaTheme="minorEastAsia" w:hAnsi="Arial" w:cs="Arial"/>
          <w:noProof/>
          <w:sz w:val="24"/>
          <w:szCs w:val="24"/>
          <w:lang w:eastAsia="en-AU"/>
        </w:rPr>
      </w:pPr>
      <w:hyperlink w:anchor="_Toc42100157" w:history="1">
        <w:r w:rsidR="00EC264D" w:rsidRPr="00EC264D">
          <w:rPr>
            <w:rStyle w:val="Hyperlink"/>
            <w:rFonts w:ascii="Arial" w:hAnsi="Arial" w:cs="Arial"/>
            <w:noProof/>
            <w:sz w:val="24"/>
            <w:szCs w:val="24"/>
          </w:rPr>
          <w:t>New Zealand</w:t>
        </w:r>
        <w:r w:rsidR="00EC264D" w:rsidRPr="00EC264D">
          <w:rPr>
            <w:rFonts w:ascii="Arial" w:hAnsi="Arial" w:cs="Arial"/>
            <w:noProof/>
            <w:webHidden/>
            <w:sz w:val="24"/>
            <w:szCs w:val="24"/>
          </w:rPr>
          <w:tab/>
          <w:t>5</w:t>
        </w:r>
      </w:hyperlink>
    </w:p>
    <w:p w14:paraId="5D5F9168" w14:textId="239B131F" w:rsidR="00EC264D" w:rsidRPr="00EC264D" w:rsidRDefault="00BA7A85">
      <w:pPr>
        <w:pStyle w:val="TOC2"/>
        <w:rPr>
          <w:rFonts w:ascii="Arial" w:eastAsiaTheme="minorEastAsia" w:hAnsi="Arial" w:cs="Arial"/>
          <w:noProof/>
          <w:sz w:val="24"/>
          <w:szCs w:val="24"/>
          <w:lang w:eastAsia="en-AU"/>
        </w:rPr>
      </w:pPr>
      <w:hyperlink w:anchor="_Toc42100158" w:history="1">
        <w:r w:rsidR="00EC264D" w:rsidRPr="00EC264D">
          <w:rPr>
            <w:rStyle w:val="Hyperlink"/>
            <w:rFonts w:ascii="Arial" w:hAnsi="Arial" w:cs="Arial"/>
            <w:noProof/>
            <w:sz w:val="24"/>
            <w:szCs w:val="24"/>
          </w:rPr>
          <w:t>Orientation and Mobility Association of Australasia</w:t>
        </w:r>
        <w:r w:rsidR="00EC264D" w:rsidRPr="00EC264D">
          <w:rPr>
            <w:rFonts w:ascii="Arial" w:hAnsi="Arial" w:cs="Arial"/>
            <w:noProof/>
            <w:webHidden/>
            <w:sz w:val="24"/>
            <w:szCs w:val="24"/>
          </w:rPr>
          <w:tab/>
          <w:t>5</w:t>
        </w:r>
      </w:hyperlink>
    </w:p>
    <w:p w14:paraId="365A2F34" w14:textId="02A7B5FE" w:rsidR="00EC264D" w:rsidRPr="00EC264D" w:rsidRDefault="00BA7A85">
      <w:pPr>
        <w:pStyle w:val="TOC2"/>
        <w:rPr>
          <w:rFonts w:ascii="Arial" w:eastAsiaTheme="minorEastAsia" w:hAnsi="Arial" w:cs="Arial"/>
          <w:noProof/>
          <w:sz w:val="24"/>
          <w:szCs w:val="24"/>
          <w:lang w:eastAsia="en-AU"/>
        </w:rPr>
      </w:pPr>
      <w:hyperlink w:anchor="_Toc42100159" w:history="1">
        <w:r w:rsidR="00EC264D" w:rsidRPr="00EC264D">
          <w:rPr>
            <w:rStyle w:val="Hyperlink"/>
            <w:rFonts w:ascii="Arial" w:hAnsi="Arial" w:cs="Arial"/>
            <w:noProof/>
            <w:sz w:val="24"/>
            <w:szCs w:val="24"/>
          </w:rPr>
          <w:t>COMS Program</w:t>
        </w:r>
        <w:r w:rsidR="00EC264D" w:rsidRPr="00EC264D">
          <w:rPr>
            <w:rFonts w:ascii="Arial" w:hAnsi="Arial" w:cs="Arial"/>
            <w:noProof/>
            <w:webHidden/>
            <w:sz w:val="24"/>
            <w:szCs w:val="24"/>
          </w:rPr>
          <w:tab/>
          <w:t>6</w:t>
        </w:r>
      </w:hyperlink>
    </w:p>
    <w:p w14:paraId="3CD1B15C" w14:textId="656F96DC" w:rsidR="00EC264D" w:rsidRPr="00EC264D" w:rsidRDefault="00BA7A85">
      <w:pPr>
        <w:pStyle w:val="TOC2"/>
        <w:rPr>
          <w:rFonts w:ascii="Arial" w:eastAsiaTheme="minorEastAsia" w:hAnsi="Arial" w:cs="Arial"/>
          <w:noProof/>
          <w:sz w:val="24"/>
          <w:szCs w:val="24"/>
          <w:lang w:eastAsia="en-AU"/>
        </w:rPr>
      </w:pPr>
      <w:hyperlink w:anchor="_Toc42100160" w:history="1">
        <w:r w:rsidR="00EC264D" w:rsidRPr="00EC264D">
          <w:rPr>
            <w:rStyle w:val="Hyperlink"/>
            <w:rFonts w:ascii="Arial" w:hAnsi="Arial" w:cs="Arial"/>
            <w:noProof/>
            <w:sz w:val="24"/>
            <w:szCs w:val="24"/>
          </w:rPr>
          <w:t>O&amp;M Qualifications in Australia and New Zealand</w:t>
        </w:r>
        <w:r w:rsidR="00EC264D" w:rsidRPr="00EC264D">
          <w:rPr>
            <w:rFonts w:ascii="Arial" w:hAnsi="Arial" w:cs="Arial"/>
            <w:noProof/>
            <w:webHidden/>
            <w:sz w:val="24"/>
            <w:szCs w:val="24"/>
          </w:rPr>
          <w:tab/>
          <w:t>6</w:t>
        </w:r>
      </w:hyperlink>
    </w:p>
    <w:p w14:paraId="538DFD99" w14:textId="2FF2A5D1" w:rsidR="00EC264D" w:rsidRPr="00EC264D" w:rsidRDefault="00BA7A85">
      <w:pPr>
        <w:pStyle w:val="TOC2"/>
        <w:rPr>
          <w:rFonts w:ascii="Arial" w:eastAsiaTheme="minorEastAsia" w:hAnsi="Arial" w:cs="Arial"/>
          <w:noProof/>
          <w:sz w:val="24"/>
          <w:szCs w:val="24"/>
          <w:lang w:eastAsia="en-AU"/>
        </w:rPr>
      </w:pPr>
      <w:hyperlink w:anchor="_Toc42100161" w:history="1">
        <w:r w:rsidR="00EC264D" w:rsidRPr="00EC264D">
          <w:rPr>
            <w:rStyle w:val="Hyperlink"/>
            <w:rFonts w:ascii="Arial" w:hAnsi="Arial" w:cs="Arial"/>
            <w:noProof/>
            <w:sz w:val="24"/>
            <w:szCs w:val="24"/>
          </w:rPr>
          <w:t>Registered O&amp;M Specialists</w:t>
        </w:r>
        <w:r w:rsidR="00EC264D" w:rsidRPr="00EC264D">
          <w:rPr>
            <w:rFonts w:ascii="Arial" w:hAnsi="Arial" w:cs="Arial"/>
            <w:noProof/>
            <w:webHidden/>
            <w:sz w:val="24"/>
            <w:szCs w:val="24"/>
          </w:rPr>
          <w:tab/>
          <w:t>7</w:t>
        </w:r>
      </w:hyperlink>
    </w:p>
    <w:p w14:paraId="0946B4FF" w14:textId="0BF08EAF" w:rsidR="00EC264D" w:rsidRPr="00EC264D" w:rsidRDefault="00BA7A85">
      <w:pPr>
        <w:pStyle w:val="TOC1"/>
        <w:rPr>
          <w:rFonts w:ascii="Arial" w:eastAsiaTheme="minorEastAsia" w:hAnsi="Arial" w:cs="Arial"/>
          <w:noProof/>
          <w:sz w:val="24"/>
          <w:szCs w:val="24"/>
          <w:lang w:eastAsia="en-AU"/>
        </w:rPr>
      </w:pPr>
      <w:hyperlink w:anchor="_Toc42100162" w:history="1">
        <w:r w:rsidR="00EC264D" w:rsidRPr="00EC264D">
          <w:rPr>
            <w:rStyle w:val="Hyperlink"/>
            <w:rFonts w:ascii="Arial" w:hAnsi="Arial" w:cs="Arial"/>
            <w:noProof/>
            <w:sz w:val="24"/>
            <w:szCs w:val="24"/>
          </w:rPr>
          <w:t>3.</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O&amp;M roles and scopes of practice</w:t>
        </w:r>
        <w:r w:rsidR="00EC264D" w:rsidRPr="00EC264D">
          <w:rPr>
            <w:rFonts w:ascii="Arial" w:hAnsi="Arial" w:cs="Arial"/>
            <w:noProof/>
            <w:webHidden/>
            <w:sz w:val="24"/>
            <w:szCs w:val="24"/>
          </w:rPr>
          <w:tab/>
          <w:t>7</w:t>
        </w:r>
      </w:hyperlink>
    </w:p>
    <w:p w14:paraId="789A4904" w14:textId="310E1E5D" w:rsidR="00EC264D" w:rsidRPr="00EC264D" w:rsidRDefault="00BA7A85">
      <w:pPr>
        <w:pStyle w:val="TOC2"/>
        <w:rPr>
          <w:rFonts w:ascii="Arial" w:eastAsiaTheme="minorEastAsia" w:hAnsi="Arial" w:cs="Arial"/>
          <w:noProof/>
          <w:sz w:val="24"/>
          <w:szCs w:val="24"/>
          <w:lang w:eastAsia="en-AU"/>
        </w:rPr>
      </w:pPr>
      <w:hyperlink w:anchor="_Toc42100163" w:history="1">
        <w:r w:rsidR="00EC264D" w:rsidRPr="00EC264D">
          <w:rPr>
            <w:rStyle w:val="Hyperlink"/>
            <w:rFonts w:ascii="Arial" w:hAnsi="Arial" w:cs="Arial"/>
            <w:noProof/>
            <w:sz w:val="24"/>
            <w:szCs w:val="24"/>
          </w:rPr>
          <w:t>General O&amp;M Specialist</w:t>
        </w:r>
        <w:r w:rsidR="00EC264D" w:rsidRPr="00EC264D">
          <w:rPr>
            <w:rFonts w:ascii="Arial" w:hAnsi="Arial" w:cs="Arial"/>
            <w:noProof/>
            <w:webHidden/>
            <w:sz w:val="24"/>
            <w:szCs w:val="24"/>
          </w:rPr>
          <w:tab/>
          <w:t>7</w:t>
        </w:r>
      </w:hyperlink>
    </w:p>
    <w:p w14:paraId="51F00900" w14:textId="0A530320" w:rsidR="00EC264D" w:rsidRPr="00EC264D" w:rsidRDefault="00BA7A85">
      <w:pPr>
        <w:pStyle w:val="TOC3"/>
        <w:tabs>
          <w:tab w:val="right" w:leader="dot" w:pos="9016"/>
        </w:tabs>
        <w:rPr>
          <w:rFonts w:ascii="Arial" w:eastAsiaTheme="minorEastAsia" w:hAnsi="Arial" w:cs="Arial"/>
          <w:noProof/>
          <w:sz w:val="24"/>
          <w:szCs w:val="24"/>
          <w:lang w:eastAsia="en-AU"/>
        </w:rPr>
      </w:pPr>
      <w:hyperlink w:anchor="_Toc42100164" w:history="1">
        <w:r w:rsidR="00EC264D" w:rsidRPr="00EC264D">
          <w:rPr>
            <w:rStyle w:val="Hyperlink"/>
            <w:rFonts w:ascii="Arial" w:hAnsi="Arial" w:cs="Arial"/>
            <w:noProof/>
            <w:sz w:val="24"/>
            <w:szCs w:val="24"/>
          </w:rPr>
          <w:t>Personal and life skills:</w:t>
        </w:r>
        <w:r w:rsidR="00EC264D" w:rsidRPr="00EC264D">
          <w:rPr>
            <w:rFonts w:ascii="Arial" w:hAnsi="Arial" w:cs="Arial"/>
            <w:noProof/>
            <w:webHidden/>
            <w:sz w:val="24"/>
            <w:szCs w:val="24"/>
          </w:rPr>
          <w:tab/>
          <w:t>8</w:t>
        </w:r>
      </w:hyperlink>
    </w:p>
    <w:p w14:paraId="00962A3B" w14:textId="058A0326" w:rsidR="00EC264D" w:rsidRPr="00EC264D" w:rsidRDefault="00BA7A85">
      <w:pPr>
        <w:pStyle w:val="TOC3"/>
        <w:tabs>
          <w:tab w:val="right" w:leader="dot" w:pos="9016"/>
        </w:tabs>
        <w:rPr>
          <w:rFonts w:ascii="Arial" w:eastAsiaTheme="minorEastAsia" w:hAnsi="Arial" w:cs="Arial"/>
          <w:noProof/>
          <w:sz w:val="24"/>
          <w:szCs w:val="24"/>
          <w:lang w:eastAsia="en-AU"/>
        </w:rPr>
      </w:pPr>
      <w:hyperlink w:anchor="_Toc42100165" w:history="1">
        <w:r w:rsidR="00EC264D" w:rsidRPr="00EC264D">
          <w:rPr>
            <w:rStyle w:val="Hyperlink"/>
            <w:rFonts w:ascii="Arial" w:hAnsi="Arial" w:cs="Arial"/>
            <w:noProof/>
            <w:sz w:val="24"/>
            <w:szCs w:val="24"/>
          </w:rPr>
          <w:t>Device use:</w:t>
        </w:r>
        <w:r w:rsidR="00EC264D" w:rsidRPr="00EC264D">
          <w:rPr>
            <w:rFonts w:ascii="Arial" w:hAnsi="Arial" w:cs="Arial"/>
            <w:noProof/>
            <w:webHidden/>
            <w:sz w:val="24"/>
            <w:szCs w:val="24"/>
          </w:rPr>
          <w:tab/>
          <w:t>8</w:t>
        </w:r>
      </w:hyperlink>
    </w:p>
    <w:p w14:paraId="1BDEDC1F" w14:textId="713A1F30" w:rsidR="00EC264D" w:rsidRPr="00EC264D" w:rsidRDefault="00BA7A85">
      <w:pPr>
        <w:pStyle w:val="TOC3"/>
        <w:tabs>
          <w:tab w:val="right" w:leader="dot" w:pos="9016"/>
        </w:tabs>
        <w:rPr>
          <w:rFonts w:ascii="Arial" w:eastAsiaTheme="minorEastAsia" w:hAnsi="Arial" w:cs="Arial"/>
          <w:noProof/>
          <w:sz w:val="24"/>
          <w:szCs w:val="24"/>
          <w:lang w:eastAsia="en-AU"/>
        </w:rPr>
      </w:pPr>
      <w:hyperlink w:anchor="_Toc42100166" w:history="1">
        <w:r w:rsidR="00EC264D" w:rsidRPr="00EC264D">
          <w:rPr>
            <w:rStyle w:val="Hyperlink"/>
            <w:rFonts w:ascii="Arial" w:hAnsi="Arial" w:cs="Arial"/>
            <w:noProof/>
            <w:sz w:val="24"/>
            <w:szCs w:val="24"/>
          </w:rPr>
          <w:t>Environmental concerns:</w:t>
        </w:r>
        <w:r w:rsidR="00EC264D" w:rsidRPr="00EC264D">
          <w:rPr>
            <w:rFonts w:ascii="Arial" w:hAnsi="Arial" w:cs="Arial"/>
            <w:noProof/>
            <w:webHidden/>
            <w:sz w:val="24"/>
            <w:szCs w:val="24"/>
          </w:rPr>
          <w:tab/>
          <w:t>9</w:t>
        </w:r>
      </w:hyperlink>
    </w:p>
    <w:p w14:paraId="4FAF5E10" w14:textId="7897BB21" w:rsidR="00EC264D" w:rsidRPr="00EC264D" w:rsidRDefault="00BA7A85">
      <w:pPr>
        <w:pStyle w:val="TOC3"/>
        <w:tabs>
          <w:tab w:val="right" w:leader="dot" w:pos="9016"/>
        </w:tabs>
        <w:rPr>
          <w:rFonts w:ascii="Arial" w:eastAsiaTheme="minorEastAsia" w:hAnsi="Arial" w:cs="Arial"/>
          <w:noProof/>
          <w:sz w:val="24"/>
          <w:szCs w:val="24"/>
          <w:lang w:eastAsia="en-AU"/>
        </w:rPr>
      </w:pPr>
      <w:hyperlink w:anchor="_Toc42100167" w:history="1">
        <w:r w:rsidR="00EC264D" w:rsidRPr="00EC264D">
          <w:rPr>
            <w:rStyle w:val="Hyperlink"/>
            <w:rFonts w:ascii="Arial" w:hAnsi="Arial" w:cs="Arial"/>
            <w:noProof/>
            <w:sz w:val="24"/>
            <w:szCs w:val="24"/>
          </w:rPr>
          <w:t>Diverse clients:</w:t>
        </w:r>
        <w:r w:rsidR="00EC264D" w:rsidRPr="00EC264D">
          <w:rPr>
            <w:rFonts w:ascii="Arial" w:hAnsi="Arial" w:cs="Arial"/>
            <w:noProof/>
            <w:webHidden/>
            <w:sz w:val="24"/>
            <w:szCs w:val="24"/>
          </w:rPr>
          <w:tab/>
          <w:t>9</w:t>
        </w:r>
      </w:hyperlink>
    </w:p>
    <w:p w14:paraId="15B87820" w14:textId="777CD297" w:rsidR="00EC264D" w:rsidRPr="00EC264D" w:rsidRDefault="00BA7A85">
      <w:pPr>
        <w:pStyle w:val="TOC2"/>
        <w:rPr>
          <w:rFonts w:ascii="Arial" w:eastAsiaTheme="minorEastAsia" w:hAnsi="Arial" w:cs="Arial"/>
          <w:noProof/>
          <w:sz w:val="24"/>
          <w:szCs w:val="24"/>
          <w:lang w:eastAsia="en-AU"/>
        </w:rPr>
      </w:pPr>
      <w:hyperlink w:anchor="_Toc42100168" w:history="1">
        <w:r w:rsidR="00EC264D" w:rsidRPr="00EC264D">
          <w:rPr>
            <w:rStyle w:val="Hyperlink"/>
            <w:rFonts w:ascii="Arial" w:hAnsi="Arial" w:cs="Arial"/>
            <w:noProof/>
            <w:sz w:val="24"/>
            <w:szCs w:val="24"/>
          </w:rPr>
          <w:t>Advanced O&amp;M Specialist</w:t>
        </w:r>
        <w:r w:rsidR="00EC264D" w:rsidRPr="00EC264D">
          <w:rPr>
            <w:rFonts w:ascii="Arial" w:hAnsi="Arial" w:cs="Arial"/>
            <w:noProof/>
            <w:webHidden/>
            <w:sz w:val="24"/>
            <w:szCs w:val="24"/>
          </w:rPr>
          <w:tab/>
          <w:t>9</w:t>
        </w:r>
      </w:hyperlink>
    </w:p>
    <w:p w14:paraId="60E5196C" w14:textId="59E71B2F" w:rsidR="00EC264D" w:rsidRPr="00EC264D" w:rsidRDefault="00BA7A85">
      <w:pPr>
        <w:pStyle w:val="TOC2"/>
        <w:rPr>
          <w:rFonts w:ascii="Arial" w:eastAsiaTheme="minorEastAsia" w:hAnsi="Arial" w:cs="Arial"/>
          <w:noProof/>
          <w:sz w:val="24"/>
          <w:szCs w:val="24"/>
          <w:lang w:eastAsia="en-AU"/>
        </w:rPr>
      </w:pPr>
      <w:hyperlink w:anchor="_Toc42100169" w:history="1">
        <w:r w:rsidR="00EC264D" w:rsidRPr="00EC264D">
          <w:rPr>
            <w:rStyle w:val="Hyperlink"/>
            <w:rFonts w:ascii="Arial" w:hAnsi="Arial" w:cs="Arial"/>
            <w:noProof/>
            <w:sz w:val="24"/>
            <w:szCs w:val="24"/>
          </w:rPr>
          <w:t>Dual-qualified O&amp;M Specialist</w:t>
        </w:r>
        <w:r w:rsidR="00EC264D" w:rsidRPr="00EC264D">
          <w:rPr>
            <w:rFonts w:ascii="Arial" w:hAnsi="Arial" w:cs="Arial"/>
            <w:noProof/>
            <w:webHidden/>
            <w:sz w:val="24"/>
            <w:szCs w:val="24"/>
          </w:rPr>
          <w:tab/>
          <w:t>10</w:t>
        </w:r>
      </w:hyperlink>
    </w:p>
    <w:p w14:paraId="500D2E1B" w14:textId="16992B1B" w:rsidR="00EC264D" w:rsidRPr="00EC264D" w:rsidRDefault="00BA7A85">
      <w:pPr>
        <w:pStyle w:val="TOC2"/>
        <w:rPr>
          <w:rFonts w:ascii="Arial" w:eastAsiaTheme="minorEastAsia" w:hAnsi="Arial" w:cs="Arial"/>
          <w:noProof/>
          <w:sz w:val="24"/>
          <w:szCs w:val="24"/>
          <w:lang w:eastAsia="en-AU"/>
        </w:rPr>
      </w:pPr>
      <w:hyperlink w:anchor="_Toc42100170" w:history="1">
        <w:r w:rsidR="00EC264D" w:rsidRPr="00EC264D">
          <w:rPr>
            <w:rStyle w:val="Hyperlink"/>
            <w:rFonts w:ascii="Arial" w:hAnsi="Arial" w:cs="Arial"/>
            <w:noProof/>
            <w:sz w:val="24"/>
            <w:szCs w:val="24"/>
          </w:rPr>
          <w:t>Guide Dog Mobility Instructor</w:t>
        </w:r>
        <w:r w:rsidR="00EC264D" w:rsidRPr="00EC264D">
          <w:rPr>
            <w:rFonts w:ascii="Arial" w:hAnsi="Arial" w:cs="Arial"/>
            <w:noProof/>
            <w:webHidden/>
            <w:sz w:val="24"/>
            <w:szCs w:val="24"/>
          </w:rPr>
          <w:tab/>
          <w:t>10</w:t>
        </w:r>
      </w:hyperlink>
    </w:p>
    <w:p w14:paraId="24AEB4E7" w14:textId="36425F3F" w:rsidR="00EC264D" w:rsidRPr="00EC264D" w:rsidRDefault="00BA7A85">
      <w:pPr>
        <w:pStyle w:val="TOC1"/>
        <w:rPr>
          <w:rFonts w:ascii="Arial" w:eastAsiaTheme="minorEastAsia" w:hAnsi="Arial" w:cs="Arial"/>
          <w:noProof/>
          <w:sz w:val="24"/>
          <w:szCs w:val="24"/>
          <w:lang w:eastAsia="en-AU"/>
        </w:rPr>
      </w:pPr>
      <w:hyperlink w:anchor="_Toc42100171" w:history="1">
        <w:r w:rsidR="00EC264D" w:rsidRPr="00EC264D">
          <w:rPr>
            <w:rStyle w:val="Hyperlink"/>
            <w:rFonts w:ascii="Arial" w:hAnsi="Arial" w:cs="Arial"/>
            <w:noProof/>
            <w:sz w:val="24"/>
            <w:szCs w:val="24"/>
          </w:rPr>
          <w:t>4.</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Collaboration and delegations of scope</w:t>
        </w:r>
        <w:r w:rsidR="00EC264D" w:rsidRPr="00EC264D">
          <w:rPr>
            <w:rFonts w:ascii="Arial" w:hAnsi="Arial" w:cs="Arial"/>
            <w:noProof/>
            <w:webHidden/>
            <w:sz w:val="24"/>
            <w:szCs w:val="24"/>
          </w:rPr>
          <w:tab/>
          <w:t>12</w:t>
        </w:r>
      </w:hyperlink>
    </w:p>
    <w:p w14:paraId="5D5EB564" w14:textId="0BF18EF7" w:rsidR="00EC264D" w:rsidRPr="00EC264D" w:rsidRDefault="00BA7A85">
      <w:pPr>
        <w:pStyle w:val="TOC2"/>
        <w:rPr>
          <w:rFonts w:ascii="Arial" w:eastAsiaTheme="minorEastAsia" w:hAnsi="Arial" w:cs="Arial"/>
          <w:noProof/>
          <w:sz w:val="24"/>
          <w:szCs w:val="24"/>
          <w:lang w:eastAsia="en-AU"/>
        </w:rPr>
      </w:pPr>
      <w:hyperlink w:anchor="_Toc42100172" w:history="1">
        <w:r w:rsidR="00EC264D" w:rsidRPr="00EC264D">
          <w:rPr>
            <w:rStyle w:val="Hyperlink"/>
            <w:rFonts w:ascii="Arial" w:hAnsi="Arial" w:cs="Arial"/>
            <w:noProof/>
            <w:sz w:val="24"/>
            <w:szCs w:val="24"/>
          </w:rPr>
          <w:t>Collaborative teams</w:t>
        </w:r>
        <w:r w:rsidR="00EC264D" w:rsidRPr="00EC264D">
          <w:rPr>
            <w:rFonts w:ascii="Arial" w:hAnsi="Arial" w:cs="Arial"/>
            <w:noProof/>
            <w:webHidden/>
            <w:sz w:val="24"/>
            <w:szCs w:val="24"/>
          </w:rPr>
          <w:tab/>
          <w:t>12</w:t>
        </w:r>
      </w:hyperlink>
    </w:p>
    <w:p w14:paraId="1561B55E" w14:textId="10D15C35" w:rsidR="00EC264D" w:rsidRPr="00EC264D" w:rsidRDefault="00BA7A85">
      <w:pPr>
        <w:pStyle w:val="TOC2"/>
        <w:rPr>
          <w:rFonts w:ascii="Arial" w:eastAsiaTheme="minorEastAsia" w:hAnsi="Arial" w:cs="Arial"/>
          <w:noProof/>
          <w:sz w:val="24"/>
          <w:szCs w:val="24"/>
          <w:lang w:eastAsia="en-AU"/>
        </w:rPr>
      </w:pPr>
      <w:hyperlink w:anchor="_Toc42100173" w:history="1">
        <w:r w:rsidR="00EC264D" w:rsidRPr="00EC264D">
          <w:rPr>
            <w:rStyle w:val="Hyperlink"/>
            <w:rFonts w:ascii="Arial" w:hAnsi="Arial" w:cs="Arial"/>
            <w:noProof/>
            <w:sz w:val="24"/>
            <w:szCs w:val="24"/>
          </w:rPr>
          <w:t>Referral</w:t>
        </w:r>
        <w:r w:rsidR="00EC264D" w:rsidRPr="00EC264D">
          <w:rPr>
            <w:rFonts w:ascii="Arial" w:hAnsi="Arial" w:cs="Arial"/>
            <w:noProof/>
            <w:webHidden/>
            <w:sz w:val="24"/>
            <w:szCs w:val="24"/>
          </w:rPr>
          <w:tab/>
          <w:t>12</w:t>
        </w:r>
      </w:hyperlink>
    </w:p>
    <w:p w14:paraId="60778A2C" w14:textId="489735C4" w:rsidR="00EC264D" w:rsidRPr="00EC264D" w:rsidRDefault="00BA7A85">
      <w:pPr>
        <w:pStyle w:val="TOC2"/>
        <w:rPr>
          <w:rFonts w:ascii="Arial" w:eastAsiaTheme="minorEastAsia" w:hAnsi="Arial" w:cs="Arial"/>
          <w:noProof/>
          <w:sz w:val="24"/>
          <w:szCs w:val="24"/>
          <w:lang w:eastAsia="en-AU"/>
        </w:rPr>
      </w:pPr>
      <w:hyperlink w:anchor="_Toc42100174" w:history="1">
        <w:r w:rsidR="00EC264D" w:rsidRPr="00EC264D">
          <w:rPr>
            <w:rStyle w:val="Hyperlink"/>
            <w:rFonts w:ascii="Arial" w:hAnsi="Arial" w:cs="Arial"/>
            <w:noProof/>
            <w:sz w:val="24"/>
            <w:szCs w:val="24"/>
          </w:rPr>
          <w:t>Handover</w:t>
        </w:r>
        <w:r w:rsidR="00EC264D" w:rsidRPr="00EC264D">
          <w:rPr>
            <w:rFonts w:ascii="Arial" w:hAnsi="Arial" w:cs="Arial"/>
            <w:noProof/>
            <w:webHidden/>
            <w:sz w:val="24"/>
            <w:szCs w:val="24"/>
          </w:rPr>
          <w:tab/>
          <w:t>13</w:t>
        </w:r>
      </w:hyperlink>
    </w:p>
    <w:p w14:paraId="64FCAE92" w14:textId="1BF9A923" w:rsidR="00EC264D" w:rsidRPr="00EC264D" w:rsidRDefault="00BA7A85">
      <w:pPr>
        <w:pStyle w:val="TOC2"/>
        <w:rPr>
          <w:rFonts w:ascii="Arial" w:eastAsiaTheme="minorEastAsia" w:hAnsi="Arial" w:cs="Arial"/>
          <w:noProof/>
          <w:sz w:val="24"/>
          <w:szCs w:val="24"/>
          <w:lang w:eastAsia="en-AU"/>
        </w:rPr>
      </w:pPr>
      <w:hyperlink w:anchor="_Toc42100175" w:history="1">
        <w:r w:rsidR="00EC264D" w:rsidRPr="00EC264D">
          <w:rPr>
            <w:rStyle w:val="Hyperlink"/>
            <w:rFonts w:ascii="Arial" w:hAnsi="Arial" w:cs="Arial"/>
            <w:noProof/>
            <w:sz w:val="24"/>
            <w:szCs w:val="24"/>
          </w:rPr>
          <w:t>O&amp;M support person</w:t>
        </w:r>
        <w:r w:rsidR="00EC264D" w:rsidRPr="00EC264D">
          <w:rPr>
            <w:rFonts w:ascii="Arial" w:hAnsi="Arial" w:cs="Arial"/>
            <w:noProof/>
            <w:webHidden/>
            <w:sz w:val="24"/>
            <w:szCs w:val="24"/>
          </w:rPr>
          <w:tab/>
          <w:t>13</w:t>
        </w:r>
      </w:hyperlink>
    </w:p>
    <w:p w14:paraId="4CC20928" w14:textId="48771511" w:rsidR="00EC264D" w:rsidRPr="00EC264D" w:rsidRDefault="00BA7A85">
      <w:pPr>
        <w:pStyle w:val="TOC2"/>
        <w:rPr>
          <w:rFonts w:ascii="Arial" w:eastAsiaTheme="minorEastAsia" w:hAnsi="Arial" w:cs="Arial"/>
          <w:noProof/>
          <w:sz w:val="24"/>
          <w:szCs w:val="24"/>
          <w:lang w:eastAsia="en-AU"/>
        </w:rPr>
      </w:pPr>
      <w:hyperlink w:anchor="_Toc42100176" w:history="1">
        <w:r w:rsidR="00EC264D" w:rsidRPr="00EC264D">
          <w:rPr>
            <w:rStyle w:val="Hyperlink"/>
            <w:rFonts w:ascii="Arial" w:hAnsi="Arial" w:cs="Arial"/>
            <w:noProof/>
            <w:sz w:val="24"/>
            <w:szCs w:val="24"/>
          </w:rPr>
          <w:t>Student O&amp;M Specialist</w:t>
        </w:r>
        <w:r w:rsidR="00EC264D" w:rsidRPr="00EC264D">
          <w:rPr>
            <w:rFonts w:ascii="Arial" w:hAnsi="Arial" w:cs="Arial"/>
            <w:noProof/>
            <w:webHidden/>
            <w:sz w:val="24"/>
            <w:szCs w:val="24"/>
          </w:rPr>
          <w:tab/>
          <w:t>13</w:t>
        </w:r>
      </w:hyperlink>
    </w:p>
    <w:p w14:paraId="4AE60F82" w14:textId="719E63A8" w:rsidR="00EC264D" w:rsidRPr="00EC264D" w:rsidRDefault="00BA7A85">
      <w:pPr>
        <w:pStyle w:val="TOC1"/>
        <w:rPr>
          <w:rFonts w:ascii="Arial" w:eastAsiaTheme="minorEastAsia" w:hAnsi="Arial" w:cs="Arial"/>
          <w:noProof/>
          <w:sz w:val="24"/>
          <w:szCs w:val="24"/>
          <w:lang w:eastAsia="en-AU"/>
        </w:rPr>
      </w:pPr>
      <w:hyperlink w:anchor="_Toc42100177" w:history="1">
        <w:r w:rsidR="00EC264D" w:rsidRPr="00EC264D">
          <w:rPr>
            <w:rStyle w:val="Hyperlink"/>
            <w:rFonts w:ascii="Arial" w:hAnsi="Arial" w:cs="Arial"/>
            <w:noProof/>
            <w:sz w:val="24"/>
            <w:szCs w:val="24"/>
          </w:rPr>
          <w:t>5.</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Document development and review</w:t>
        </w:r>
        <w:r w:rsidR="00EC264D" w:rsidRPr="00EC264D">
          <w:rPr>
            <w:rFonts w:ascii="Arial" w:hAnsi="Arial" w:cs="Arial"/>
            <w:noProof/>
            <w:webHidden/>
            <w:sz w:val="24"/>
            <w:szCs w:val="24"/>
          </w:rPr>
          <w:tab/>
          <w:t>13</w:t>
        </w:r>
      </w:hyperlink>
    </w:p>
    <w:p w14:paraId="76EDCF1B" w14:textId="2E9F0673" w:rsidR="00EC264D" w:rsidRPr="00EC264D" w:rsidRDefault="00BA7A85">
      <w:pPr>
        <w:pStyle w:val="TOC1"/>
        <w:rPr>
          <w:rFonts w:ascii="Arial" w:eastAsiaTheme="minorEastAsia" w:hAnsi="Arial" w:cs="Arial"/>
          <w:noProof/>
          <w:sz w:val="24"/>
          <w:szCs w:val="24"/>
          <w:lang w:eastAsia="en-AU"/>
        </w:rPr>
      </w:pPr>
      <w:hyperlink w:anchor="_Toc42100178" w:history="1">
        <w:r w:rsidR="00EC264D" w:rsidRPr="00EC264D">
          <w:rPr>
            <w:rStyle w:val="Hyperlink"/>
            <w:rFonts w:ascii="Arial" w:hAnsi="Arial" w:cs="Arial"/>
            <w:noProof/>
            <w:sz w:val="24"/>
            <w:szCs w:val="24"/>
          </w:rPr>
          <w:t>6.</w:t>
        </w:r>
        <w:r w:rsidR="00EC264D" w:rsidRPr="00EC264D">
          <w:rPr>
            <w:rFonts w:ascii="Arial" w:eastAsiaTheme="minorEastAsia" w:hAnsi="Arial" w:cs="Arial"/>
            <w:noProof/>
            <w:sz w:val="24"/>
            <w:szCs w:val="24"/>
            <w:lang w:eastAsia="en-AU"/>
          </w:rPr>
          <w:tab/>
        </w:r>
        <w:r w:rsidR="00EC264D" w:rsidRPr="00EC264D">
          <w:rPr>
            <w:rStyle w:val="Hyperlink"/>
            <w:rFonts w:ascii="Arial" w:hAnsi="Arial" w:cs="Arial"/>
            <w:noProof/>
            <w:sz w:val="24"/>
            <w:szCs w:val="24"/>
          </w:rPr>
          <w:t>References</w:t>
        </w:r>
        <w:r w:rsidR="00EC264D" w:rsidRPr="00EC264D">
          <w:rPr>
            <w:rFonts w:ascii="Arial" w:hAnsi="Arial" w:cs="Arial"/>
            <w:noProof/>
            <w:webHidden/>
            <w:sz w:val="24"/>
            <w:szCs w:val="24"/>
          </w:rPr>
          <w:tab/>
          <w:t>14</w:t>
        </w:r>
      </w:hyperlink>
    </w:p>
    <w:p w14:paraId="58174698" w14:textId="3EAD2A8E" w:rsidR="00F26A14" w:rsidRDefault="00B05E85" w:rsidP="00AB4F47">
      <w:pPr>
        <w:tabs>
          <w:tab w:val="left" w:pos="1569"/>
          <w:tab w:val="right" w:pos="9026"/>
        </w:tabs>
      </w:pPr>
      <w:bookmarkStart w:id="4" w:name="_Toc22547299"/>
      <w:r>
        <w:rPr>
          <w:rFonts w:ascii="Arial" w:hAnsi="Arial" w:cs="Arial"/>
          <w:sz w:val="24"/>
          <w:szCs w:val="24"/>
        </w:rPr>
        <w:tab/>
      </w:r>
      <w:r w:rsidR="00AB4F47">
        <w:rPr>
          <w:rFonts w:ascii="Arial" w:hAnsi="Arial" w:cs="Arial"/>
          <w:sz w:val="24"/>
          <w:szCs w:val="24"/>
        </w:rPr>
        <w:tab/>
      </w:r>
    </w:p>
    <w:p w14:paraId="58557085" w14:textId="42FDC190" w:rsidR="003414AA" w:rsidRPr="00B42972" w:rsidRDefault="00F26A14" w:rsidP="00EC264D">
      <w:pPr>
        <w:pStyle w:val="Heading1"/>
      </w:pPr>
      <w:r w:rsidRPr="00AB4F47">
        <w:br w:type="page"/>
      </w:r>
      <w:bookmarkStart w:id="5" w:name="_Toc22547300"/>
      <w:bookmarkStart w:id="6" w:name="_Toc23146080"/>
      <w:bookmarkStart w:id="7" w:name="_Toc42100150"/>
      <w:bookmarkEnd w:id="4"/>
      <w:r w:rsidR="003414AA" w:rsidRPr="00B42972">
        <w:lastRenderedPageBreak/>
        <w:t>O&amp;M Practice within the Australasian context</w:t>
      </w:r>
      <w:bookmarkEnd w:id="5"/>
      <w:bookmarkEnd w:id="6"/>
      <w:bookmarkEnd w:id="7"/>
      <w:r w:rsidR="003414AA" w:rsidRPr="00B42972">
        <w:t xml:space="preserve"> </w:t>
      </w:r>
    </w:p>
    <w:p w14:paraId="60CA7D06" w14:textId="77777777" w:rsidR="00E51349" w:rsidRPr="0067169F" w:rsidRDefault="00600819" w:rsidP="00045C26">
      <w:pPr>
        <w:pStyle w:val="Bodytext"/>
      </w:pPr>
      <w:r w:rsidRPr="0067169F">
        <w:t>Orientation and mobility (</w:t>
      </w:r>
      <w:r w:rsidR="00792F23" w:rsidRPr="0067169F">
        <w:t>O&amp;M</w:t>
      </w:r>
      <w:r w:rsidRPr="0067169F">
        <w:t>)</w:t>
      </w:r>
      <w:r w:rsidR="00792F23" w:rsidRPr="0067169F">
        <w:t xml:space="preserve"> is a person-centred profession that equips people of all ages, usually with low vision or blindness</w:t>
      </w:r>
      <w:r w:rsidR="004360EC" w:rsidRPr="0067169F">
        <w:t xml:space="preserve"> and often with additional disabilities</w:t>
      </w:r>
      <w:r w:rsidR="00792F23" w:rsidRPr="0067169F">
        <w:t xml:space="preserve">, to identify where they are and </w:t>
      </w:r>
      <w:r w:rsidR="00C10C1F" w:rsidRPr="0067169F">
        <w:t xml:space="preserve">how </w:t>
      </w:r>
      <w:r w:rsidR="00792F23" w:rsidRPr="0067169F">
        <w:t xml:space="preserve">to </w:t>
      </w:r>
      <w:r w:rsidR="0066032E" w:rsidRPr="0067169F">
        <w:t xml:space="preserve">move </w:t>
      </w:r>
      <w:r w:rsidR="00792F23" w:rsidRPr="0067169F">
        <w:t>through lived environments to the best of their ability.</w:t>
      </w:r>
      <w:r w:rsidR="00E51349" w:rsidRPr="0067169F">
        <w:t xml:space="preserve"> </w:t>
      </w:r>
    </w:p>
    <w:p w14:paraId="532B3FCC" w14:textId="6C852383" w:rsidR="00DA7645" w:rsidRPr="0067169F" w:rsidRDefault="00E51349" w:rsidP="00045C26">
      <w:pPr>
        <w:pStyle w:val="Bodytext"/>
      </w:pPr>
      <w:r w:rsidRPr="0067169F">
        <w:t xml:space="preserve">O&amp;M practice is rarely clinic-based. </w:t>
      </w:r>
      <w:r w:rsidR="00F87FA0" w:rsidRPr="0067169F">
        <w:t>O&amp;M Specialist</w:t>
      </w:r>
      <w:r w:rsidR="00A633B4" w:rsidRPr="0067169F">
        <w:t xml:space="preserve">s address a client’s </w:t>
      </w:r>
      <w:r w:rsidR="008F1424" w:rsidRPr="0067169F">
        <w:t>O&amp;M</w:t>
      </w:r>
      <w:r w:rsidR="00A633B4" w:rsidRPr="0067169F">
        <w:t xml:space="preserve"> needs in the context of everyday activiti</w:t>
      </w:r>
      <w:r w:rsidR="00AC1E14" w:rsidRPr="0067169F">
        <w:t>es</w:t>
      </w:r>
      <w:r w:rsidR="00660F5F" w:rsidRPr="0067169F">
        <w:t xml:space="preserve"> in lived environments, where they teach</w:t>
      </w:r>
      <w:r w:rsidR="004A128F" w:rsidRPr="0067169F">
        <w:t xml:space="preserve"> </w:t>
      </w:r>
      <w:r w:rsidR="0043590F" w:rsidRPr="0067169F">
        <w:t>concepts and</w:t>
      </w:r>
      <w:r w:rsidR="00792F23" w:rsidRPr="0067169F">
        <w:t xml:space="preserve"> strategies </w:t>
      </w:r>
      <w:r w:rsidR="00AC1E14" w:rsidRPr="0067169F">
        <w:t>for safe, effective, efficient and confident mobility. T</w:t>
      </w:r>
      <w:r w:rsidR="007340CE" w:rsidRPr="0067169F">
        <w:t>hey</w:t>
      </w:r>
      <w:r w:rsidR="00AC1E14" w:rsidRPr="0067169F">
        <w:t xml:space="preserve"> aim </w:t>
      </w:r>
      <w:r w:rsidR="00792F23" w:rsidRPr="0067169F">
        <w:t>t</w:t>
      </w:r>
      <w:r w:rsidR="00031F7F" w:rsidRPr="0067169F">
        <w:t>o</w:t>
      </w:r>
      <w:r w:rsidR="00792F23" w:rsidRPr="0067169F">
        <w:t xml:space="preserve"> maximise a client’s independen</w:t>
      </w:r>
      <w:r w:rsidR="0043590F" w:rsidRPr="0067169F">
        <w:t>ce</w:t>
      </w:r>
      <w:r w:rsidR="00792F23" w:rsidRPr="0067169F">
        <w:t>, access to places, social and community participation, recreational and employment opportunities, wellbeing and self-determination</w:t>
      </w:r>
      <w:r w:rsidR="00031F7F" w:rsidRPr="0067169F">
        <w:t xml:space="preserve">. </w:t>
      </w:r>
      <w:r w:rsidR="007C2C57" w:rsidRPr="0067169F">
        <w:t xml:space="preserve">O&amp;M </w:t>
      </w:r>
      <w:r w:rsidR="00D4246F" w:rsidRPr="0067169F">
        <w:t>S</w:t>
      </w:r>
      <w:r w:rsidR="007C2C57" w:rsidRPr="0067169F">
        <w:t>pecialists</w:t>
      </w:r>
      <w:r w:rsidR="00D4246F" w:rsidRPr="0067169F">
        <w:t xml:space="preserve"> and their clients</w:t>
      </w:r>
      <w:r w:rsidR="00031F7F" w:rsidRPr="0067169F">
        <w:t xml:space="preserve"> </w:t>
      </w:r>
      <w:r w:rsidR="00733909" w:rsidRPr="0067169F">
        <w:t xml:space="preserve">also </w:t>
      </w:r>
      <w:r w:rsidR="00600819" w:rsidRPr="0067169F">
        <w:t xml:space="preserve">work with </w:t>
      </w:r>
      <w:r w:rsidR="002665B8" w:rsidRPr="0067169F">
        <w:t>aids, equipment, technologies</w:t>
      </w:r>
      <w:r w:rsidR="00600819" w:rsidRPr="0067169F">
        <w:t>, other professionals</w:t>
      </w:r>
      <w:r w:rsidR="002665B8" w:rsidRPr="0067169F">
        <w:t xml:space="preserve"> and social supports</w:t>
      </w:r>
      <w:r w:rsidR="00031F7F" w:rsidRPr="0067169F">
        <w:t xml:space="preserve"> to achieve these purposes</w:t>
      </w:r>
      <w:r w:rsidR="00792F23" w:rsidRPr="0067169F">
        <w:t xml:space="preserve">. </w:t>
      </w:r>
    </w:p>
    <w:p w14:paraId="3D3B4F2C" w14:textId="77777777" w:rsidR="00E51349" w:rsidRPr="0067169F" w:rsidRDefault="002B413E" w:rsidP="00045C26">
      <w:pPr>
        <w:pStyle w:val="Bodytext"/>
      </w:pPr>
      <w:r w:rsidRPr="0067169F">
        <w:t xml:space="preserve">The </w:t>
      </w:r>
      <w:r w:rsidR="00E51349" w:rsidRPr="0067169F">
        <w:t>OMAA regards guide dog</w:t>
      </w:r>
      <w:r w:rsidRPr="0067169F">
        <w:rPr>
          <w:rStyle w:val="FootnoteReference"/>
        </w:rPr>
        <w:footnoteReference w:id="2"/>
      </w:r>
      <w:r w:rsidRPr="0067169F">
        <w:t xml:space="preserve"> </w:t>
      </w:r>
      <w:r w:rsidR="00E51349" w:rsidRPr="0067169F">
        <w:t xml:space="preserve">mobility </w:t>
      </w:r>
      <w:r w:rsidR="00B822D2" w:rsidRPr="0067169F">
        <w:t>as</w:t>
      </w:r>
      <w:r w:rsidR="00E51349" w:rsidRPr="0067169F">
        <w:t xml:space="preserve"> a specialisation within the O&amp;M profession, since the primary purpose of the dog is to meet a client’s unique O&amp;M needs. </w:t>
      </w:r>
      <w:r w:rsidRPr="0067169F">
        <w:t xml:space="preserve">Guide dog mobility instructors </w:t>
      </w:r>
      <w:r w:rsidR="00E51349" w:rsidRPr="0067169F">
        <w:t xml:space="preserve">account for a quarter of the O&amp;M workforce in Australia and New Zealand[1]. </w:t>
      </w:r>
    </w:p>
    <w:p w14:paraId="27593190" w14:textId="77777777" w:rsidR="002A0160" w:rsidRPr="00B545B2" w:rsidRDefault="002A0160" w:rsidP="0067169F">
      <w:pPr>
        <w:pStyle w:val="Heading2"/>
      </w:pPr>
      <w:bookmarkStart w:id="8" w:name="_Toc23146081"/>
      <w:bookmarkStart w:id="9" w:name="_Toc42100151"/>
      <w:r w:rsidRPr="00600819">
        <w:t xml:space="preserve">Populations served – </w:t>
      </w:r>
      <w:r w:rsidR="002F1212" w:rsidRPr="00600819">
        <w:t>C</w:t>
      </w:r>
      <w:r w:rsidRPr="00600819">
        <w:t>lients</w:t>
      </w:r>
      <w:r w:rsidR="00A633B4" w:rsidRPr="00600819">
        <w:t xml:space="preserve"> and</w:t>
      </w:r>
      <w:r w:rsidRPr="00B545B2">
        <w:t xml:space="preserve"> communit</w:t>
      </w:r>
      <w:r w:rsidR="00F349E8" w:rsidRPr="00B545B2">
        <w:t>ies</w:t>
      </w:r>
      <w:bookmarkEnd w:id="8"/>
      <w:bookmarkEnd w:id="9"/>
    </w:p>
    <w:p w14:paraId="23CF2E57" w14:textId="77777777" w:rsidR="002A0160" w:rsidRDefault="00F87FA0" w:rsidP="00045C26">
      <w:pPr>
        <w:pStyle w:val="Bodytext"/>
      </w:pPr>
      <w:r>
        <w:t>O&amp;M Specialist</w:t>
      </w:r>
      <w:r w:rsidR="002A0160">
        <w:t xml:space="preserve">s </w:t>
      </w:r>
      <w:r w:rsidR="00792F23" w:rsidRPr="00792F23">
        <w:t>primarily</w:t>
      </w:r>
      <w:r w:rsidR="00792F23">
        <w:t xml:space="preserve"> </w:t>
      </w:r>
      <w:r w:rsidR="002A0160" w:rsidRPr="00792F23">
        <w:t>work</w:t>
      </w:r>
      <w:r w:rsidR="002A0160">
        <w:t xml:space="preserve"> with individual clients</w:t>
      </w:r>
      <w:r w:rsidR="00DC7F34">
        <w:t xml:space="preserve"> </w:t>
      </w:r>
      <w:r w:rsidR="00D00A31">
        <w:t>in the context of</w:t>
      </w:r>
      <w:r w:rsidR="00DC7F34">
        <w:t xml:space="preserve"> </w:t>
      </w:r>
      <w:r w:rsidR="002A0160">
        <w:t>their families, friends</w:t>
      </w:r>
      <w:r w:rsidR="00D00A31">
        <w:t xml:space="preserve">, </w:t>
      </w:r>
      <w:r w:rsidR="002A0160">
        <w:t>carers</w:t>
      </w:r>
      <w:r w:rsidR="00D00A31">
        <w:t xml:space="preserve"> and relevant professionals</w:t>
      </w:r>
      <w:r w:rsidR="002A0160">
        <w:t>. They also work with client</w:t>
      </w:r>
      <w:r w:rsidR="00D00A31">
        <w:t xml:space="preserve"> groups, </w:t>
      </w:r>
      <w:r w:rsidR="002A0160">
        <w:t>community groups, education and community services, allied health and medical profession</w:t>
      </w:r>
      <w:r w:rsidR="00D00A31">
        <w:t>s</w:t>
      </w:r>
      <w:r w:rsidR="002A0160">
        <w:t>, transport service</w:t>
      </w:r>
      <w:r w:rsidR="003B776C">
        <w:t xml:space="preserve"> providers</w:t>
      </w:r>
      <w:r w:rsidR="002A0160">
        <w:t>, access consultants, government bodies, policymakers</w:t>
      </w:r>
      <w:r w:rsidR="00E1183C">
        <w:t>,</w:t>
      </w:r>
      <w:r w:rsidR="002A0160">
        <w:t xml:space="preserve"> and others</w:t>
      </w:r>
      <w:r w:rsidR="00031F7F">
        <w:t>. The purpose of cross-sector collaboration is</w:t>
      </w:r>
      <w:r w:rsidR="002A0160">
        <w:t xml:space="preserve"> to </w:t>
      </w:r>
      <w:r w:rsidR="00862A44">
        <w:t xml:space="preserve">support client programs, </w:t>
      </w:r>
      <w:r w:rsidR="002A0160">
        <w:t>improve universal access and broaden community understanding of the needs of people with low vision</w:t>
      </w:r>
      <w:r w:rsidR="00AC1E14">
        <w:t xml:space="preserve"> or</w:t>
      </w:r>
      <w:r w:rsidR="002A0160">
        <w:t xml:space="preserve"> blindness </w:t>
      </w:r>
      <w:r w:rsidR="00AC1E14">
        <w:t>and</w:t>
      </w:r>
      <w:r w:rsidR="002A0160">
        <w:t xml:space="preserve"> mobility limitations.</w:t>
      </w:r>
    </w:p>
    <w:p w14:paraId="5E318EF4" w14:textId="77777777" w:rsidR="002A0160" w:rsidRDefault="00A633B4" w:rsidP="00045C26">
      <w:pPr>
        <w:pStyle w:val="Bodytext"/>
      </w:pPr>
      <w:r>
        <w:t xml:space="preserve">A client’s </w:t>
      </w:r>
      <w:r w:rsidR="002A0160">
        <w:t>O&amp;M challenges can arise from</w:t>
      </w:r>
      <w:r w:rsidR="00031F7F">
        <w:t xml:space="preserve"> </w:t>
      </w:r>
      <w:r w:rsidR="007340CE">
        <w:t xml:space="preserve">their </w:t>
      </w:r>
      <w:r w:rsidR="002A0160">
        <w:t xml:space="preserve">personal </w:t>
      </w:r>
      <w:r w:rsidR="00E1183C">
        <w:t>development</w:t>
      </w:r>
      <w:r w:rsidR="00B545B2">
        <w:t xml:space="preserve"> and</w:t>
      </w:r>
      <w:r w:rsidR="00E1183C">
        <w:t xml:space="preserve"> </w:t>
      </w:r>
      <w:r w:rsidR="00595AC2">
        <w:t>characteristics</w:t>
      </w:r>
      <w:r w:rsidR="002A0160">
        <w:t>, travel environments, limited available resource</w:t>
      </w:r>
      <w:r w:rsidR="00B545B2">
        <w:t>s, and</w:t>
      </w:r>
      <w:r w:rsidR="00E1183C">
        <w:t xml:space="preserve"> </w:t>
      </w:r>
      <w:r w:rsidR="00C15C8B">
        <w:t xml:space="preserve">family, professional and </w:t>
      </w:r>
      <w:r w:rsidR="00E1183C">
        <w:t>societal attitudes</w:t>
      </w:r>
      <w:r w:rsidR="00B545B2">
        <w:t xml:space="preserve"> that can </w:t>
      </w:r>
      <w:r w:rsidR="00D4246F">
        <w:t xml:space="preserve">restrict </w:t>
      </w:r>
      <w:r w:rsidR="00B545B2">
        <w:t>expectations of the client’s capability</w:t>
      </w:r>
      <w:r w:rsidR="00E51349">
        <w:rPr>
          <w:noProof/>
        </w:rPr>
        <w:t>[2]</w:t>
      </w:r>
      <w:r w:rsidR="00B545B2">
        <w:t xml:space="preserve">. </w:t>
      </w:r>
      <w:r w:rsidR="003B776C">
        <w:t>In Austra</w:t>
      </w:r>
      <w:r w:rsidR="00B545B2">
        <w:t>l</w:t>
      </w:r>
      <w:r w:rsidR="003B776C">
        <w:t>ia, o</w:t>
      </w:r>
      <w:r w:rsidR="002A0160">
        <w:t>nly 10% of O&amp;M clients are totally blind</w:t>
      </w:r>
      <w:r w:rsidR="00E51349">
        <w:rPr>
          <w:noProof/>
        </w:rPr>
        <w:t>[3]</w:t>
      </w:r>
      <w:r w:rsidR="002A0160">
        <w:t xml:space="preserve">. The </w:t>
      </w:r>
      <w:r w:rsidR="00B545B2">
        <w:t xml:space="preserve">majority </w:t>
      </w:r>
      <w:r w:rsidR="002A0160">
        <w:t>have some level of low vision</w:t>
      </w:r>
      <w:r w:rsidR="00E1183C">
        <w:t>,</w:t>
      </w:r>
      <w:r w:rsidR="002A0160">
        <w:t xml:space="preserve"> </w:t>
      </w:r>
      <w:r w:rsidR="000C313F">
        <w:t>either</w:t>
      </w:r>
      <w:r w:rsidR="002A0160">
        <w:t xml:space="preserve"> ocular or neurological</w:t>
      </w:r>
      <w:r w:rsidR="00E1183C">
        <w:t>,</w:t>
      </w:r>
      <w:r w:rsidR="002A0160">
        <w:t xml:space="preserve"> </w:t>
      </w:r>
      <w:r w:rsidR="000C313F">
        <w:t>causing</w:t>
      </w:r>
      <w:r w:rsidR="002A0160">
        <w:t xml:space="preserve"> functional difficulties with visual processing. </w:t>
      </w:r>
      <w:r>
        <w:t>Some O&amp;M clients</w:t>
      </w:r>
      <w:r w:rsidR="0012488E">
        <w:t xml:space="preserve"> </w:t>
      </w:r>
      <w:r>
        <w:t>have limited spatial cognition</w:t>
      </w:r>
      <w:r w:rsidR="00C15C8B">
        <w:t xml:space="preserve"> that is unrelated to their vision</w:t>
      </w:r>
      <w:r>
        <w:t xml:space="preserve">, increasing their likelihood of </w:t>
      </w:r>
      <w:r w:rsidR="00B545B2">
        <w:t>disorientation during travel</w:t>
      </w:r>
      <w:r w:rsidR="00E01BAB">
        <w:t xml:space="preserve"> and the need for navigational strategies that don’t require mental mapping</w:t>
      </w:r>
      <w:r w:rsidR="00E51349">
        <w:rPr>
          <w:noProof/>
        </w:rPr>
        <w:t>[4]</w:t>
      </w:r>
      <w:r w:rsidR="00B545B2">
        <w:t>.</w:t>
      </w:r>
      <w:r>
        <w:t xml:space="preserve"> </w:t>
      </w:r>
      <w:r w:rsidR="00C15C8B">
        <w:t xml:space="preserve">Many </w:t>
      </w:r>
      <w:r w:rsidR="002A0160">
        <w:t>O&amp;M clients</w:t>
      </w:r>
      <w:r w:rsidR="0012488E">
        <w:t xml:space="preserve"> </w:t>
      </w:r>
      <w:r w:rsidR="002A0160">
        <w:t xml:space="preserve">have </w:t>
      </w:r>
      <w:r w:rsidR="007E4708">
        <w:t xml:space="preserve">other </w:t>
      </w:r>
      <w:r w:rsidR="002A0160">
        <w:t xml:space="preserve">health </w:t>
      </w:r>
      <w:r w:rsidR="007E4708">
        <w:t>or</w:t>
      </w:r>
      <w:r w:rsidR="002A0160">
        <w:t xml:space="preserve"> social complications that </w:t>
      </w:r>
      <w:r>
        <w:t xml:space="preserve">compromise </w:t>
      </w:r>
      <w:r w:rsidR="002A0160">
        <w:t>their mobility and make their lives complex</w:t>
      </w:r>
      <w:r w:rsidR="00E51349">
        <w:rPr>
          <w:noProof/>
        </w:rPr>
        <w:t>[5]</w:t>
      </w:r>
      <w:r>
        <w:t>.</w:t>
      </w:r>
      <w:r w:rsidR="00AE27F6">
        <w:t xml:space="preserve"> O&amp;M clients </w:t>
      </w:r>
      <w:r w:rsidR="00E01BAB">
        <w:t xml:space="preserve">in Australasia </w:t>
      </w:r>
      <w:r w:rsidR="00AE27F6">
        <w:t xml:space="preserve">are </w:t>
      </w:r>
      <w:r w:rsidR="00536C93">
        <w:t xml:space="preserve">rarely </w:t>
      </w:r>
      <w:r w:rsidR="00AE27F6">
        <w:t xml:space="preserve">drivers, and </w:t>
      </w:r>
      <w:r w:rsidR="00536C93">
        <w:t xml:space="preserve">so </w:t>
      </w:r>
      <w:r w:rsidR="00D4246F">
        <w:t xml:space="preserve">they </w:t>
      </w:r>
      <w:r w:rsidR="009B5E47">
        <w:t>rely on</w:t>
      </w:r>
      <w:r w:rsidR="00AE27F6">
        <w:t xml:space="preserve"> public and alternative transports to travel beyond home.</w:t>
      </w:r>
    </w:p>
    <w:p w14:paraId="2E460E31" w14:textId="77777777" w:rsidR="00812D05" w:rsidRPr="009D6253" w:rsidRDefault="00812D05" w:rsidP="0067169F">
      <w:pPr>
        <w:pStyle w:val="Heading2"/>
      </w:pPr>
      <w:bookmarkStart w:id="10" w:name="_Toc23146082"/>
      <w:bookmarkStart w:id="11" w:name="_Toc42100152"/>
      <w:r w:rsidRPr="009D6253">
        <w:t>O&amp;M service providers</w:t>
      </w:r>
      <w:r w:rsidR="00792F23" w:rsidRPr="009D6253">
        <w:t xml:space="preserve"> – Individuals and employers</w:t>
      </w:r>
      <w:bookmarkEnd w:id="10"/>
      <w:bookmarkEnd w:id="11"/>
    </w:p>
    <w:p w14:paraId="509B48B0" w14:textId="77777777" w:rsidR="00812D05" w:rsidRPr="002B413E" w:rsidRDefault="009540B3" w:rsidP="00045C26">
      <w:pPr>
        <w:pStyle w:val="Bodytext"/>
      </w:pPr>
      <w:r>
        <w:t xml:space="preserve">In the Pacific Islands, the O&amp;M needs </w:t>
      </w:r>
      <w:r w:rsidR="00F215FC">
        <w:t xml:space="preserve">of individuals </w:t>
      </w:r>
      <w:r>
        <w:t xml:space="preserve">are </w:t>
      </w:r>
      <w:r w:rsidR="00792F23">
        <w:t xml:space="preserve">usually </w:t>
      </w:r>
      <w:r w:rsidR="00A633B4">
        <w:t>addressed</w:t>
      </w:r>
      <w:r>
        <w:t xml:space="preserve"> by family and friends, </w:t>
      </w:r>
      <w:r w:rsidR="00E1183C">
        <w:t xml:space="preserve">their community, and </w:t>
      </w:r>
      <w:r>
        <w:t>human service professionals (e.g. special education teachers</w:t>
      </w:r>
      <w:r w:rsidR="007E4708">
        <w:t>,</w:t>
      </w:r>
      <w:r w:rsidR="007E4708" w:rsidRPr="007E4708">
        <w:t xml:space="preserve"> </w:t>
      </w:r>
      <w:r w:rsidR="007E4708">
        <w:t>community-based rehabilitation fieldworkers</w:t>
      </w:r>
      <w:r>
        <w:t>)</w:t>
      </w:r>
      <w:r w:rsidR="00FC6516">
        <w:t xml:space="preserve"> who have developed some O&amp;M skills by </w:t>
      </w:r>
      <w:r w:rsidR="00FC6516">
        <w:lastRenderedPageBreak/>
        <w:t>working with</w:t>
      </w:r>
      <w:r w:rsidR="007844AF">
        <w:t xml:space="preserve"> </w:t>
      </w:r>
      <w:r w:rsidR="00F87FA0">
        <w:t xml:space="preserve">O&amp;M </w:t>
      </w:r>
      <w:r w:rsidR="009B5E47">
        <w:t>S</w:t>
      </w:r>
      <w:r w:rsidR="00F87FA0">
        <w:t>pecialist</w:t>
      </w:r>
      <w:r>
        <w:t xml:space="preserve">s </w:t>
      </w:r>
      <w:r w:rsidR="008B2C0F">
        <w:t>visiting from other countries</w:t>
      </w:r>
      <w:r w:rsidR="00FC6516">
        <w:t>, and/or attending O&amp;M professional development</w:t>
      </w:r>
      <w:r w:rsidR="00B822D2">
        <w:t xml:space="preserve"> </w:t>
      </w:r>
      <w:r w:rsidR="00B822D2" w:rsidRPr="002B413E">
        <w:t>events</w:t>
      </w:r>
      <w:r w:rsidR="00FC6516" w:rsidRPr="002B413E">
        <w:t xml:space="preserve"> in the region</w:t>
      </w:r>
      <w:r w:rsidRPr="002B413E">
        <w:t xml:space="preserve">. </w:t>
      </w:r>
    </w:p>
    <w:p w14:paraId="70406E70" w14:textId="1320ED6D" w:rsidR="009540B3" w:rsidRDefault="00812D05" w:rsidP="00045C26">
      <w:pPr>
        <w:pStyle w:val="Bodytext"/>
      </w:pPr>
      <w:r w:rsidRPr="002B413E">
        <w:t>In Australia and New Zealand, Orientation and Mobility is a defined</w:t>
      </w:r>
      <w:r w:rsidR="003B7BBE" w:rsidRPr="002B413E">
        <w:t>,</w:t>
      </w:r>
      <w:r w:rsidR="009B5E47" w:rsidRPr="002B413E">
        <w:t xml:space="preserve"> unique </w:t>
      </w:r>
      <w:r w:rsidRPr="002B413E">
        <w:t>professio</w:t>
      </w:r>
      <w:r w:rsidR="004C22BC" w:rsidRPr="002B413E">
        <w:t>n</w:t>
      </w:r>
      <w:r w:rsidR="00A633B4" w:rsidRPr="002B413E">
        <w:t>,</w:t>
      </w:r>
      <w:r w:rsidR="004C22BC" w:rsidRPr="002B413E">
        <w:t xml:space="preserve"> </w:t>
      </w:r>
      <w:r w:rsidR="00D00A31" w:rsidRPr="002B413E">
        <w:t xml:space="preserve">situated between </w:t>
      </w:r>
      <w:r w:rsidR="00E1183C" w:rsidRPr="002B413E">
        <w:t xml:space="preserve">the </w:t>
      </w:r>
      <w:r w:rsidR="008B2C0F" w:rsidRPr="002B413E">
        <w:t xml:space="preserve">fields of </w:t>
      </w:r>
      <w:r w:rsidR="00637DAE">
        <w:t xml:space="preserve">vision, </w:t>
      </w:r>
      <w:r w:rsidR="00D00A31" w:rsidRPr="002B413E">
        <w:t xml:space="preserve">education, </w:t>
      </w:r>
      <w:r w:rsidR="007340CE">
        <w:t xml:space="preserve">rehabilitation, </w:t>
      </w:r>
      <w:r w:rsidR="00D00A31" w:rsidRPr="002B413E">
        <w:t>allied health, disability, access</w:t>
      </w:r>
      <w:r w:rsidR="003B7BBE" w:rsidRPr="002B413E">
        <w:t>,</w:t>
      </w:r>
      <w:r w:rsidR="00D00A31" w:rsidRPr="002B413E">
        <w:t xml:space="preserve"> and universal design. </w:t>
      </w:r>
      <w:r w:rsidR="008B2C0F" w:rsidRPr="00B4611A">
        <w:t>The O&amp;M profession</w:t>
      </w:r>
      <w:r w:rsidR="00547518" w:rsidRPr="00B4611A">
        <w:t xml:space="preserve"> </w:t>
      </w:r>
      <w:r w:rsidR="00D00A31" w:rsidRPr="00B4611A">
        <w:t xml:space="preserve">was </w:t>
      </w:r>
      <w:r w:rsidRPr="00B4611A">
        <w:t>established in 197</w:t>
      </w:r>
      <w:r w:rsidR="003610EF" w:rsidRPr="00B4611A">
        <w:t xml:space="preserve">1 </w:t>
      </w:r>
      <w:r w:rsidR="00293F12" w:rsidRPr="00B4611A">
        <w:t>when</w:t>
      </w:r>
      <w:r w:rsidR="003610EF" w:rsidRPr="00B4611A">
        <w:t xml:space="preserve"> the first</w:t>
      </w:r>
      <w:r w:rsidR="003A2226" w:rsidRPr="00B4611A">
        <w:t xml:space="preserve"> O&amp;M Instructor</w:t>
      </w:r>
      <w:r w:rsidR="003610EF" w:rsidRPr="00B4611A">
        <w:t xml:space="preserve"> training program</w:t>
      </w:r>
      <w:r w:rsidR="003A2226" w:rsidRPr="00B4611A">
        <w:t xml:space="preserve"> </w:t>
      </w:r>
      <w:r w:rsidR="00293F12" w:rsidRPr="00B4611A">
        <w:t xml:space="preserve">was </w:t>
      </w:r>
      <w:r w:rsidR="00D00A31" w:rsidRPr="00B4611A">
        <w:t xml:space="preserve">delivered </w:t>
      </w:r>
      <w:r w:rsidR="008B2C0F" w:rsidRPr="00B4611A">
        <w:t xml:space="preserve">in Melbourne </w:t>
      </w:r>
      <w:r w:rsidR="003610EF" w:rsidRPr="00B4611A">
        <w:t>under the aegis of the Royal Guide Dog Association of Australia.</w:t>
      </w:r>
      <w:r w:rsidR="003610EF" w:rsidRPr="002B413E">
        <w:t xml:space="preserve"> </w:t>
      </w:r>
      <w:r w:rsidR="00F87FA0" w:rsidRPr="002B413E">
        <w:t>O&amp;M Specialist</w:t>
      </w:r>
      <w:r w:rsidR="003A2226" w:rsidRPr="002B413E">
        <w:t>s now complete comprehensive tertiary qualification</w:t>
      </w:r>
      <w:r w:rsidR="00DA7645" w:rsidRPr="002B413E">
        <w:t>s</w:t>
      </w:r>
      <w:r w:rsidR="003A2226" w:rsidRPr="002B413E">
        <w:t xml:space="preserve"> </w:t>
      </w:r>
      <w:r w:rsidR="004D3374" w:rsidRPr="002B413E">
        <w:t>including</w:t>
      </w:r>
      <w:r w:rsidR="003A2226" w:rsidRPr="002B413E">
        <w:t xml:space="preserve"> extensive blindfold travel in the</w:t>
      </w:r>
      <w:r w:rsidR="003A2226">
        <w:t xml:space="preserve"> community and supervised </w:t>
      </w:r>
      <w:r w:rsidR="00A86575">
        <w:t xml:space="preserve">professional </w:t>
      </w:r>
      <w:r w:rsidR="003A2226">
        <w:t>placement</w:t>
      </w:r>
      <w:r w:rsidR="00DA7645">
        <w:t>s</w:t>
      </w:r>
      <w:r w:rsidR="003A2226">
        <w:t>.</w:t>
      </w:r>
      <w:r w:rsidR="00D00A31">
        <w:t xml:space="preserve"> </w:t>
      </w:r>
    </w:p>
    <w:p w14:paraId="72D9AB1B" w14:textId="77777777" w:rsidR="00792F23" w:rsidRDefault="00F87FA0" w:rsidP="00045C26">
      <w:pPr>
        <w:pStyle w:val="Bodytext"/>
      </w:pPr>
      <w:r>
        <w:t>O&amp;M Specialist</w:t>
      </w:r>
      <w:r w:rsidR="00792F23" w:rsidRPr="006C6F3E">
        <w:t>s in Australia and New Zealand are</w:t>
      </w:r>
      <w:r w:rsidR="00E50566">
        <w:t xml:space="preserve"> </w:t>
      </w:r>
      <w:r w:rsidR="00792F23" w:rsidRPr="006C6F3E">
        <w:t>employed by low vision/blindness agencies in the not-for-profit sector</w:t>
      </w:r>
      <w:r w:rsidR="00E1183C">
        <w:t xml:space="preserve">, </w:t>
      </w:r>
      <w:r w:rsidR="0043012B">
        <w:t xml:space="preserve">by </w:t>
      </w:r>
      <w:r w:rsidR="00792F23" w:rsidRPr="006C6F3E">
        <w:t>education departments</w:t>
      </w:r>
      <w:r w:rsidR="00E1183C">
        <w:t xml:space="preserve">, </w:t>
      </w:r>
      <w:r w:rsidR="00792F23">
        <w:t>and universities</w:t>
      </w:r>
      <w:r w:rsidR="00E51349">
        <w:rPr>
          <w:noProof/>
        </w:rPr>
        <w:t>[1]</w:t>
      </w:r>
      <w:r w:rsidR="00792F23">
        <w:t xml:space="preserve">. </w:t>
      </w:r>
      <w:r w:rsidR="0043012B">
        <w:t>Increasingly, f</w:t>
      </w:r>
      <w:r w:rsidR="00792F23" w:rsidRPr="006C6F3E">
        <w:t>reelance</w:t>
      </w:r>
      <w:r w:rsidR="00792F23">
        <w:t xml:space="preserve"> </w:t>
      </w:r>
      <w:r>
        <w:t>O&amp;M Specialist</w:t>
      </w:r>
      <w:r w:rsidR="00F26A14">
        <w:t>s</w:t>
      </w:r>
      <w:r w:rsidR="00792F23" w:rsidRPr="006C6F3E">
        <w:t xml:space="preserve"> undertak</w:t>
      </w:r>
      <w:r w:rsidR="00912EB4">
        <w:t>e</w:t>
      </w:r>
      <w:r w:rsidR="00792F23" w:rsidRPr="006C6F3E">
        <w:t xml:space="preserve"> private client work, contract work with agencies</w:t>
      </w:r>
      <w:r w:rsidR="00C4603A">
        <w:t xml:space="preserve"> and schools</w:t>
      </w:r>
      <w:r w:rsidR="00792F23" w:rsidRPr="006C6F3E">
        <w:t>, consultancies</w:t>
      </w:r>
      <w:r w:rsidR="00792F23">
        <w:t>,</w:t>
      </w:r>
      <w:r w:rsidR="00792F23" w:rsidRPr="006C6F3E">
        <w:t xml:space="preserve"> teaching</w:t>
      </w:r>
      <w:r w:rsidR="00792F23">
        <w:t xml:space="preserve"> and research</w:t>
      </w:r>
      <w:r w:rsidR="00792F23" w:rsidRPr="006C6F3E">
        <w:t>.</w:t>
      </w:r>
      <w:r w:rsidR="00792F23">
        <w:t xml:space="preserve"> Some </w:t>
      </w:r>
      <w:r w:rsidR="00547518">
        <w:t xml:space="preserve">O&amp;M </w:t>
      </w:r>
      <w:r w:rsidR="009B5E47">
        <w:t>S</w:t>
      </w:r>
      <w:r w:rsidR="00547518">
        <w:t xml:space="preserve">pecialists </w:t>
      </w:r>
      <w:r w:rsidR="00E50566">
        <w:t xml:space="preserve">are </w:t>
      </w:r>
      <w:r w:rsidR="000B6776">
        <w:t xml:space="preserve">also </w:t>
      </w:r>
      <w:r w:rsidR="00E50566">
        <w:t>employed</w:t>
      </w:r>
      <w:r w:rsidR="00792F23">
        <w:t xml:space="preserve"> in government departments and private businesses (e.g., public transport, employment, insurance, technology, access</w:t>
      </w:r>
      <w:r w:rsidR="008B2C0F">
        <w:t xml:space="preserve"> industry</w:t>
      </w:r>
      <w:r w:rsidR="00792F23">
        <w:t xml:space="preserve">) in roles </w:t>
      </w:r>
      <w:r w:rsidR="009C6891">
        <w:t>that</w:t>
      </w:r>
      <w:r w:rsidR="00792F23">
        <w:t xml:space="preserve"> involve client assessment, case management, education,</w:t>
      </w:r>
      <w:r w:rsidR="00792F23" w:rsidRPr="006C6F3E">
        <w:t xml:space="preserve"> </w:t>
      </w:r>
      <w:r w:rsidR="00792F23">
        <w:t xml:space="preserve">disability liaison </w:t>
      </w:r>
      <w:r w:rsidR="00E50566">
        <w:t>or</w:t>
      </w:r>
      <w:r w:rsidR="00792F23">
        <w:t xml:space="preserve"> environmental </w:t>
      </w:r>
      <w:r w:rsidR="00547518">
        <w:t xml:space="preserve">access </w:t>
      </w:r>
      <w:r w:rsidR="00792F23">
        <w:t xml:space="preserve">assessments. </w:t>
      </w:r>
    </w:p>
    <w:p w14:paraId="238624B8" w14:textId="77777777" w:rsidR="0074328B" w:rsidRDefault="000B6776" w:rsidP="0067169F">
      <w:pPr>
        <w:pStyle w:val="Heading2"/>
      </w:pPr>
      <w:bookmarkStart w:id="12" w:name="_Toc23146084"/>
      <w:bookmarkStart w:id="13" w:name="_Toc42100153"/>
      <w:r>
        <w:t>O&amp;M s</w:t>
      </w:r>
      <w:r w:rsidR="0074328B">
        <w:t>ervice models</w:t>
      </w:r>
      <w:bookmarkEnd w:id="12"/>
      <w:bookmarkEnd w:id="13"/>
      <w:r w:rsidR="00DC521B">
        <w:t xml:space="preserve"> </w:t>
      </w:r>
    </w:p>
    <w:p w14:paraId="6C3B6EB3" w14:textId="77777777" w:rsidR="00504567" w:rsidRDefault="00251794" w:rsidP="00045C26">
      <w:pPr>
        <w:pStyle w:val="Bodytext"/>
      </w:pPr>
      <w:r>
        <w:t xml:space="preserve">Most O&amp;M services </w:t>
      </w:r>
      <w:r w:rsidR="00644578">
        <w:t xml:space="preserve">in Australia and New Zealand </w:t>
      </w:r>
      <w:r>
        <w:t>are</w:t>
      </w:r>
      <w:r w:rsidR="0074328B">
        <w:t xml:space="preserve"> </w:t>
      </w:r>
      <w:r w:rsidR="002F1212">
        <w:t xml:space="preserve">itinerant </w:t>
      </w:r>
      <w:r>
        <w:t xml:space="preserve">because O&amp;M clients </w:t>
      </w:r>
      <w:r w:rsidRPr="006C6F3E">
        <w:t>can be widely dispersed</w:t>
      </w:r>
      <w:r>
        <w:t xml:space="preserve">, each with unique, context-specific O&amp;M goals. </w:t>
      </w:r>
      <w:r w:rsidR="00644578">
        <w:t xml:space="preserve">An O&amp;M Specialist might need to cover large geographical </w:t>
      </w:r>
      <w:r w:rsidR="00644578" w:rsidRPr="006C6F3E">
        <w:t>areas</w:t>
      </w:r>
      <w:r w:rsidR="00644578">
        <w:t xml:space="preserve"> – metropolitan, rural and remote –</w:t>
      </w:r>
      <w:r w:rsidR="00644578" w:rsidRPr="006C6F3E">
        <w:t xml:space="preserve"> to serve the needs of </w:t>
      </w:r>
      <w:r w:rsidR="00644578">
        <w:t xml:space="preserve">individual </w:t>
      </w:r>
      <w:r w:rsidR="00644578" w:rsidRPr="006C6F3E">
        <w:t>clients</w:t>
      </w:r>
      <w:r w:rsidR="00644578">
        <w:t xml:space="preserve"> and build capacity in each client’s community.</w:t>
      </w:r>
      <w:r w:rsidR="00502A29" w:rsidRPr="00502A29">
        <w:t xml:space="preserve"> </w:t>
      </w:r>
    </w:p>
    <w:p w14:paraId="3F12AA49" w14:textId="1DC142B4" w:rsidR="00FF259A" w:rsidRDefault="00504567" w:rsidP="00045C26">
      <w:pPr>
        <w:pStyle w:val="Bodytext"/>
      </w:pPr>
      <w:r>
        <w:t>Teaching is tailored to the individual learner</w:t>
      </w:r>
      <w:r w:rsidR="00BF4347">
        <w:t xml:space="preserve">. A </w:t>
      </w:r>
      <w:r>
        <w:t>1:1 ratio is usually needed to address the client’s O&amp;M goals, maximise spontaneous learning opportunities and ensure the client’s safety.</w:t>
      </w:r>
      <w:r w:rsidRPr="00504567">
        <w:t xml:space="preserve"> </w:t>
      </w:r>
      <w:r w:rsidR="00C4603A">
        <w:t>G</w:t>
      </w:r>
      <w:r>
        <w:t xml:space="preserve">roup programs can be beneficial for peer support, concept development, and sharing information. </w:t>
      </w:r>
      <w:r w:rsidR="004F3D1F">
        <w:t xml:space="preserve">Other </w:t>
      </w:r>
      <w:r w:rsidR="00FF259A">
        <w:t>O&amp;M service models include residential programs for intensive service delivery, centre- or school-based services,</w:t>
      </w:r>
      <w:r w:rsidR="00FF259A" w:rsidRPr="009F4D43">
        <w:t xml:space="preserve"> </w:t>
      </w:r>
      <w:r w:rsidR="00FF259A">
        <w:t>technology-linked services and community liaison.</w:t>
      </w:r>
      <w:r w:rsidR="009C7FA1" w:rsidRPr="009C7FA1">
        <w:t xml:space="preserve"> </w:t>
      </w:r>
    </w:p>
    <w:p w14:paraId="4A1B83AB" w14:textId="1A28AC30" w:rsidR="00FF259A" w:rsidRDefault="00502A29" w:rsidP="00045C26">
      <w:pPr>
        <w:pStyle w:val="Bodytext"/>
      </w:pPr>
      <w:r>
        <w:t xml:space="preserve">Some employers combine the role of an O&amp;M </w:t>
      </w:r>
      <w:r w:rsidR="00FF259A">
        <w:t>S</w:t>
      </w:r>
      <w:r>
        <w:t xml:space="preserve">pecialist with </w:t>
      </w:r>
      <w:r w:rsidR="004F3D1F">
        <w:t xml:space="preserve">related </w:t>
      </w:r>
      <w:r>
        <w:t xml:space="preserve">services such as teaching braille or adaptations for activities of daily living. </w:t>
      </w:r>
      <w:r w:rsidR="00B24853">
        <w:t xml:space="preserve">Some O&amp;M Specialists are </w:t>
      </w:r>
      <w:r w:rsidR="00D54A64">
        <w:t>dual-</w:t>
      </w:r>
      <w:r w:rsidR="00B24853">
        <w:t xml:space="preserve">qualified and registered to provide services in a separate, regulated profession. </w:t>
      </w:r>
      <w:r>
        <w:t xml:space="preserve">Providing that the O&amp;M Specialist is </w:t>
      </w:r>
      <w:r w:rsidR="00B24853">
        <w:t>appropriately</w:t>
      </w:r>
      <w:r>
        <w:t xml:space="preserve"> qualified and supported, this </w:t>
      </w:r>
      <w:r w:rsidRPr="004F3D1F">
        <w:t>extended scope</w:t>
      </w:r>
      <w:r>
        <w:t xml:space="preserve"> of practice can </w:t>
      </w:r>
      <w:r w:rsidR="004F3D1F">
        <w:t>facilitate</w:t>
      </w:r>
      <w:r>
        <w:t xml:space="preserve"> economical service delivery</w:t>
      </w:r>
      <w:r w:rsidR="00B24853">
        <w:t>, particularly</w:t>
      </w:r>
      <w:r>
        <w:t xml:space="preserve"> </w:t>
      </w:r>
      <w:r w:rsidR="00504567">
        <w:t>to</w:t>
      </w:r>
      <w:r>
        <w:t xml:space="preserve"> rural and remote areas. </w:t>
      </w:r>
    </w:p>
    <w:p w14:paraId="1C970619" w14:textId="77777777" w:rsidR="00B90775" w:rsidRPr="0067169F" w:rsidRDefault="00B90775" w:rsidP="0067169F">
      <w:pPr>
        <w:pStyle w:val="Heading1"/>
      </w:pPr>
      <w:bookmarkStart w:id="14" w:name="_Toc22547301"/>
      <w:bookmarkStart w:id="15" w:name="_Toc23146085"/>
      <w:bookmarkStart w:id="16" w:name="_Toc42100154"/>
      <w:bookmarkStart w:id="17" w:name="_Hlk20497579"/>
      <w:r w:rsidRPr="0067169F">
        <w:t xml:space="preserve">Regulatory </w:t>
      </w:r>
      <w:r w:rsidR="00E74989" w:rsidRPr="0067169F">
        <w:t>F</w:t>
      </w:r>
      <w:r w:rsidRPr="0067169F">
        <w:t>rameworks</w:t>
      </w:r>
      <w:bookmarkEnd w:id="14"/>
      <w:bookmarkEnd w:id="15"/>
      <w:bookmarkEnd w:id="16"/>
    </w:p>
    <w:p w14:paraId="68D1B1CA" w14:textId="77777777" w:rsidR="00B90775" w:rsidRDefault="00B90775" w:rsidP="0067169F">
      <w:pPr>
        <w:pStyle w:val="Heading2"/>
      </w:pPr>
      <w:bookmarkStart w:id="18" w:name="_Toc23146086"/>
      <w:bookmarkStart w:id="19" w:name="_Toc42100155"/>
      <w:r>
        <w:t>Internationally</w:t>
      </w:r>
      <w:bookmarkEnd w:id="18"/>
      <w:bookmarkEnd w:id="19"/>
      <w:r>
        <w:t xml:space="preserve"> </w:t>
      </w:r>
    </w:p>
    <w:p w14:paraId="4F9E81E0" w14:textId="77777777" w:rsidR="00B90775" w:rsidRDefault="00B90775" w:rsidP="00045C26">
      <w:pPr>
        <w:pStyle w:val="Bodytext"/>
        <w:rPr>
          <w:lang w:val="en-US"/>
        </w:rPr>
      </w:pPr>
      <w:r>
        <w:rPr>
          <w:lang w:val="en-US"/>
        </w:rPr>
        <w:t>O&amp;M practice is guided by</w:t>
      </w:r>
      <w:r w:rsidR="00912EB4">
        <w:rPr>
          <w:lang w:val="en-US"/>
        </w:rPr>
        <w:t>:</w:t>
      </w:r>
    </w:p>
    <w:p w14:paraId="0EE95302" w14:textId="77777777" w:rsidR="00912EB4" w:rsidRPr="0067169F" w:rsidRDefault="00B90775" w:rsidP="0067169F">
      <w:pPr>
        <w:pStyle w:val="ListParagraph"/>
      </w:pPr>
      <w:r w:rsidRPr="0067169F">
        <w:t>United Nations Convention on the Rights of Persons with Disabilities (CRPD)</w:t>
      </w:r>
      <w:r w:rsidR="00E01BAB" w:rsidRPr="0067169F">
        <w:t>[6]</w:t>
      </w:r>
      <w:r w:rsidR="00611BF5" w:rsidRPr="0067169F">
        <w:t>.</w:t>
      </w:r>
    </w:p>
    <w:p w14:paraId="28222508" w14:textId="77777777" w:rsidR="009A7B81" w:rsidRPr="0067169F" w:rsidRDefault="00A479C9" w:rsidP="0067169F">
      <w:pPr>
        <w:pStyle w:val="ListParagraph"/>
      </w:pPr>
      <w:r w:rsidRPr="0067169F">
        <w:t>UNICEF</w:t>
      </w:r>
      <w:r w:rsidR="009A7B81" w:rsidRPr="0067169F">
        <w:t xml:space="preserve"> Convention on the Rights of the Child</w:t>
      </w:r>
      <w:r w:rsidR="00E01BAB" w:rsidRPr="0067169F">
        <w:t>[7]</w:t>
      </w:r>
      <w:r w:rsidR="00611BF5" w:rsidRPr="0067169F">
        <w:t>.</w:t>
      </w:r>
    </w:p>
    <w:p w14:paraId="40F36B50" w14:textId="4EB0F8FB" w:rsidR="00B90775" w:rsidRPr="0067169F" w:rsidRDefault="00B90775" w:rsidP="0067169F">
      <w:pPr>
        <w:pStyle w:val="ListParagraph"/>
      </w:pPr>
      <w:r w:rsidRPr="0067169F">
        <w:t xml:space="preserve">Certified </w:t>
      </w:r>
      <w:r w:rsidR="00F87FA0" w:rsidRPr="0067169F">
        <w:t>O&amp;M Specialist</w:t>
      </w:r>
      <w:r w:rsidR="001C07E2" w:rsidRPr="0067169F">
        <w:t xml:space="preserve"> (COMS</w:t>
      </w:r>
      <w:r w:rsidRPr="0067169F">
        <w:t>) program</w:t>
      </w:r>
      <w:r w:rsidR="00EB49DC" w:rsidRPr="0067169F">
        <w:t>, administered by the Academy for Certification of Vision Rehabilitation and Education Professionals (ACVREP) in the USA</w:t>
      </w:r>
      <w:r w:rsidR="00E01BAB" w:rsidRPr="0067169F">
        <w:t>[8]</w:t>
      </w:r>
      <w:r w:rsidR="00611BF5" w:rsidRPr="0067169F">
        <w:t>.</w:t>
      </w:r>
    </w:p>
    <w:p w14:paraId="5568B9DF" w14:textId="77777777" w:rsidR="00B90775" w:rsidRDefault="00B90775" w:rsidP="0067169F">
      <w:pPr>
        <w:pStyle w:val="Heading2"/>
      </w:pPr>
      <w:bookmarkStart w:id="20" w:name="_Toc23146087"/>
      <w:bookmarkStart w:id="21" w:name="_Toc42100156"/>
      <w:r>
        <w:lastRenderedPageBreak/>
        <w:t>Australia</w:t>
      </w:r>
      <w:bookmarkEnd w:id="20"/>
      <w:bookmarkEnd w:id="21"/>
    </w:p>
    <w:p w14:paraId="2DAF89BD" w14:textId="77777777" w:rsidR="00B24853" w:rsidRDefault="004F3D1F" w:rsidP="00045C26">
      <w:pPr>
        <w:pStyle w:val="Bodytext"/>
      </w:pPr>
      <w:r>
        <w:t xml:space="preserve">In Australia, </w:t>
      </w:r>
      <w:r w:rsidR="00B90775">
        <w:t xml:space="preserve">O&amp;M practice is guided by respect for First People and their Elders past, present and </w:t>
      </w:r>
      <w:r w:rsidR="00EB49DC">
        <w:t>emerging</w:t>
      </w:r>
      <w:r w:rsidR="00B24853">
        <w:t xml:space="preserve">. First </w:t>
      </w:r>
      <w:r>
        <w:t>P</w:t>
      </w:r>
      <w:r w:rsidR="00B24853">
        <w:t>eople</w:t>
      </w:r>
      <w:r w:rsidR="00910351">
        <w:t xml:space="preserve"> have </w:t>
      </w:r>
      <w:r w:rsidR="00B90775">
        <w:t xml:space="preserve">travelled </w:t>
      </w:r>
      <w:r w:rsidR="00910351">
        <w:t xml:space="preserve">and nurtured </w:t>
      </w:r>
      <w:r w:rsidR="00B90775">
        <w:t>the land for thousands of years</w:t>
      </w:r>
      <w:r>
        <w:t>,</w:t>
      </w:r>
      <w:r w:rsidR="00B90775">
        <w:t xml:space="preserve"> including people of all abilities in community, culture and country</w:t>
      </w:r>
      <w:r>
        <w:t xml:space="preserve">, </w:t>
      </w:r>
      <w:r w:rsidR="00BF4347">
        <w:t>needing</w:t>
      </w:r>
      <w:r>
        <w:t xml:space="preserve"> no words for disability</w:t>
      </w:r>
      <w:r w:rsidR="00E01BAB">
        <w:rPr>
          <w:noProof/>
        </w:rPr>
        <w:t>[9]</w:t>
      </w:r>
      <w:r w:rsidR="00EB49DC">
        <w:t xml:space="preserve">. </w:t>
      </w:r>
    </w:p>
    <w:p w14:paraId="4243D673" w14:textId="77777777" w:rsidR="00B90775" w:rsidRPr="00DD7108" w:rsidRDefault="004F3D1F" w:rsidP="00045C26">
      <w:pPr>
        <w:pStyle w:val="Bodytext"/>
      </w:pPr>
      <w:r>
        <w:t>In Australia, c</w:t>
      </w:r>
      <w:r w:rsidR="009A6636">
        <w:t>hild protection is governed by different legislation in each of the Australian states and territories</w:t>
      </w:r>
      <w:r w:rsidR="00E01BAB">
        <w:rPr>
          <w:noProof/>
        </w:rPr>
        <w:t>[10]</w:t>
      </w:r>
      <w:r w:rsidR="009A6636">
        <w:t xml:space="preserve">. </w:t>
      </w:r>
      <w:r w:rsidR="000A6BAC">
        <w:t>Australian f</w:t>
      </w:r>
      <w:r w:rsidR="00910351">
        <w:t>ederal legislation</w:t>
      </w:r>
      <w:r w:rsidR="00305E5F">
        <w:t xml:space="preserve"> </w:t>
      </w:r>
      <w:r w:rsidR="009A7B81">
        <w:t>g</w:t>
      </w:r>
      <w:r w:rsidR="009A6636">
        <w:t>overning</w:t>
      </w:r>
      <w:r w:rsidR="009A7B81">
        <w:t xml:space="preserve"> O&amp;M practice </w:t>
      </w:r>
      <w:r w:rsidR="00305E5F">
        <w:t>includes:</w:t>
      </w:r>
    </w:p>
    <w:p w14:paraId="3F86DBDC" w14:textId="77777777" w:rsidR="00B90775" w:rsidRDefault="00B90775" w:rsidP="0067169F">
      <w:pPr>
        <w:pStyle w:val="ListParagraph"/>
      </w:pPr>
      <w:bookmarkStart w:id="22" w:name="_Hlk22525813"/>
      <w:r w:rsidRPr="00BF5DF8">
        <w:t>Disability</w:t>
      </w:r>
      <w:r w:rsidRPr="00D15E65">
        <w:t xml:space="preserve"> Discrimination Act 1992</w:t>
      </w:r>
      <w:r w:rsidR="00E01BAB">
        <w:rPr>
          <w:noProof/>
        </w:rPr>
        <w:t>[11]</w:t>
      </w:r>
      <w:r w:rsidR="00F166FC">
        <w:t xml:space="preserve"> which incorporates</w:t>
      </w:r>
      <w:r w:rsidR="008E1C5D">
        <w:t xml:space="preserve"> the Disability Standards for Education 2005</w:t>
      </w:r>
      <w:r w:rsidR="00F166FC">
        <w:rPr>
          <w:noProof/>
        </w:rPr>
        <w:t>[12]</w:t>
      </w:r>
      <w:r w:rsidR="00611BF5">
        <w:t>.</w:t>
      </w:r>
    </w:p>
    <w:bookmarkEnd w:id="22"/>
    <w:p w14:paraId="33AD57D8" w14:textId="77777777" w:rsidR="00895101" w:rsidRDefault="00B90775" w:rsidP="0067169F">
      <w:pPr>
        <w:pStyle w:val="ListParagraph"/>
      </w:pPr>
      <w:r>
        <w:t>National Disability Insurance Scheme Act 2013 (the NDIS Act)</w:t>
      </w:r>
      <w:r w:rsidR="00F166FC">
        <w:rPr>
          <w:noProof/>
        </w:rPr>
        <w:t>[13]</w:t>
      </w:r>
      <w:r w:rsidR="00611BF5">
        <w:t>.</w:t>
      </w:r>
    </w:p>
    <w:p w14:paraId="1C0FD9E7" w14:textId="77777777" w:rsidR="00895101" w:rsidRDefault="00B90775" w:rsidP="0067169F">
      <w:pPr>
        <w:pStyle w:val="ListParagraph"/>
      </w:pPr>
      <w:r>
        <w:t>Aged Care Act 1997</w:t>
      </w:r>
      <w:r w:rsidR="00F166FC">
        <w:rPr>
          <w:noProof/>
        </w:rPr>
        <w:t>[14]</w:t>
      </w:r>
      <w:r w:rsidR="00611BF5">
        <w:t>.</w:t>
      </w:r>
    </w:p>
    <w:p w14:paraId="272743FE" w14:textId="77777777" w:rsidR="003A2819" w:rsidRDefault="003A2819" w:rsidP="0067169F">
      <w:pPr>
        <w:pStyle w:val="Heading2"/>
      </w:pPr>
      <w:bookmarkStart w:id="23" w:name="_Toc23146088"/>
      <w:bookmarkStart w:id="24" w:name="_Toc42100157"/>
      <w:bookmarkEnd w:id="17"/>
      <w:r>
        <w:t>New Zealand</w:t>
      </w:r>
      <w:bookmarkEnd w:id="23"/>
      <w:bookmarkEnd w:id="24"/>
    </w:p>
    <w:p w14:paraId="28682F48" w14:textId="77777777" w:rsidR="003A2819" w:rsidRPr="00C75FA6" w:rsidRDefault="003A2819" w:rsidP="00045C26">
      <w:pPr>
        <w:pStyle w:val="Bodytext"/>
      </w:pPr>
      <w:r>
        <w:t xml:space="preserve">O&amp;M practice is guided by </w:t>
      </w:r>
      <w:r w:rsidRPr="00C75FA6">
        <w:t>the Treaty of Waitangi</w:t>
      </w:r>
      <w:r w:rsidR="00F166FC">
        <w:rPr>
          <w:noProof/>
        </w:rPr>
        <w:t>[15]</w:t>
      </w:r>
      <w:r w:rsidRPr="00C75FA6">
        <w:t>,</w:t>
      </w:r>
      <w:r w:rsidRPr="00C75FA6">
        <w:rPr>
          <w:rFonts w:eastAsia="Times New Roman"/>
        </w:rPr>
        <w:t xml:space="preserve"> the rights of the </w:t>
      </w:r>
      <w:proofErr w:type="spellStart"/>
      <w:r w:rsidRPr="00C75FA6">
        <w:rPr>
          <w:rFonts w:eastAsia="Times New Roman"/>
        </w:rPr>
        <w:t>Tangata</w:t>
      </w:r>
      <w:proofErr w:type="spellEnd"/>
      <w:r w:rsidRPr="00C75FA6">
        <w:rPr>
          <w:rFonts w:eastAsia="Times New Roman"/>
        </w:rPr>
        <w:t xml:space="preserve"> Whenua (indigenous </w:t>
      </w:r>
      <w:r w:rsidRPr="00F045ED">
        <w:rPr>
          <w:rFonts w:eastAsia="Times New Roman" w:cstheme="minorHAnsi"/>
        </w:rPr>
        <w:t xml:space="preserve">people </w:t>
      </w:r>
      <w:r w:rsidR="009D73BB" w:rsidRPr="00F045ED">
        <w:rPr>
          <w:rFonts w:eastAsia="Times New Roman" w:cstheme="minorHAnsi"/>
        </w:rPr>
        <w:t xml:space="preserve">- </w:t>
      </w:r>
      <w:r w:rsidR="009D73BB" w:rsidRPr="00F045ED">
        <w:rPr>
          <w:rFonts w:cstheme="minorHAnsi"/>
          <w:shd w:val="clear" w:color="auto" w:fill="FFFFFF"/>
        </w:rPr>
        <w:t>Māori</w:t>
      </w:r>
      <w:r w:rsidRPr="00F045ED">
        <w:rPr>
          <w:rFonts w:eastAsia="Times New Roman"/>
        </w:rPr>
        <w:t xml:space="preserve">) to </w:t>
      </w:r>
      <w:proofErr w:type="spellStart"/>
      <w:r w:rsidRPr="00F045ED">
        <w:rPr>
          <w:rFonts w:eastAsia="Times New Roman"/>
        </w:rPr>
        <w:t>tiro</w:t>
      </w:r>
      <w:proofErr w:type="spellEnd"/>
      <w:r w:rsidRPr="00F045ED">
        <w:rPr>
          <w:rFonts w:eastAsia="Times New Roman"/>
        </w:rPr>
        <w:t xml:space="preserve"> </w:t>
      </w:r>
      <w:proofErr w:type="spellStart"/>
      <w:r w:rsidRPr="00F045ED">
        <w:rPr>
          <w:rFonts w:eastAsia="Times New Roman"/>
        </w:rPr>
        <w:t>rang</w:t>
      </w:r>
      <w:r w:rsidR="007960DB" w:rsidRPr="00F045ED">
        <w:rPr>
          <w:rFonts w:eastAsia="Times New Roman"/>
        </w:rPr>
        <w:t>a</w:t>
      </w:r>
      <w:r w:rsidRPr="00F045ED">
        <w:rPr>
          <w:rFonts w:eastAsia="Times New Roman"/>
        </w:rPr>
        <w:t>tir</w:t>
      </w:r>
      <w:r w:rsidR="00EF169A" w:rsidRPr="00F045ED">
        <w:rPr>
          <w:rFonts w:eastAsia="Times New Roman"/>
        </w:rPr>
        <w:t>o</w:t>
      </w:r>
      <w:r w:rsidRPr="00F045ED">
        <w:rPr>
          <w:rFonts w:eastAsia="Times New Roman"/>
        </w:rPr>
        <w:t>tanga</w:t>
      </w:r>
      <w:proofErr w:type="spellEnd"/>
      <w:r w:rsidRPr="00F045ED">
        <w:rPr>
          <w:rFonts w:eastAsia="Times New Roman"/>
        </w:rPr>
        <w:t xml:space="preserve"> (self-determination) and a national </w:t>
      </w:r>
      <w:r w:rsidRPr="0040697A">
        <w:rPr>
          <w:rFonts w:eastAsia="Times New Roman"/>
        </w:rPr>
        <w:t xml:space="preserve">commitment to culturally responsive </w:t>
      </w:r>
      <w:r w:rsidRPr="00C75FA6">
        <w:rPr>
          <w:rFonts w:eastAsia="Times New Roman"/>
        </w:rPr>
        <w:t>practice</w:t>
      </w:r>
      <w:r>
        <w:rPr>
          <w:rFonts w:eastAsia="Times New Roman"/>
        </w:rPr>
        <w:t>. National legislation includes:</w:t>
      </w:r>
    </w:p>
    <w:p w14:paraId="3FEAA5FD" w14:textId="77777777" w:rsidR="003A2819" w:rsidRPr="00417851" w:rsidRDefault="003A2819" w:rsidP="0067169F">
      <w:pPr>
        <w:pStyle w:val="ListParagraph"/>
        <w:numPr>
          <w:ilvl w:val="0"/>
          <w:numId w:val="7"/>
        </w:numPr>
      </w:pPr>
      <w:r w:rsidRPr="00417851">
        <w:rPr>
          <w:bCs/>
          <w:shd w:val="clear" w:color="auto" w:fill="FFFFFF"/>
        </w:rPr>
        <w:t>New Zealand</w:t>
      </w:r>
      <w:r w:rsidRPr="00417851">
        <w:rPr>
          <w:shd w:val="clear" w:color="auto" w:fill="FFFFFF"/>
        </w:rPr>
        <w:t> Bill of Rights Act 1990</w:t>
      </w:r>
      <w:r w:rsidR="00F166FC">
        <w:rPr>
          <w:noProof/>
          <w:shd w:val="clear" w:color="auto" w:fill="FFFFFF"/>
        </w:rPr>
        <w:t>[16]</w:t>
      </w:r>
      <w:r w:rsidR="00611BF5">
        <w:rPr>
          <w:shd w:val="clear" w:color="auto" w:fill="FFFFFF"/>
        </w:rPr>
        <w:t>.</w:t>
      </w:r>
    </w:p>
    <w:p w14:paraId="27EEA3AB" w14:textId="77777777" w:rsidR="00DC521B" w:rsidRPr="00417851" w:rsidRDefault="00DC521B" w:rsidP="0067169F">
      <w:pPr>
        <w:pStyle w:val="ListParagraph"/>
        <w:numPr>
          <w:ilvl w:val="0"/>
          <w:numId w:val="7"/>
        </w:numPr>
      </w:pPr>
      <w:r>
        <w:t>Education Act 1989</w:t>
      </w:r>
      <w:r w:rsidR="00F166FC">
        <w:rPr>
          <w:noProof/>
        </w:rPr>
        <w:t>[17]</w:t>
      </w:r>
      <w:r w:rsidR="00611BF5">
        <w:t>.</w:t>
      </w:r>
    </w:p>
    <w:p w14:paraId="090998E9" w14:textId="77777777" w:rsidR="00895101" w:rsidRDefault="003A2819" w:rsidP="0067169F">
      <w:pPr>
        <w:pStyle w:val="ListParagraph"/>
        <w:numPr>
          <w:ilvl w:val="0"/>
          <w:numId w:val="7"/>
        </w:numPr>
      </w:pPr>
      <w:r w:rsidRPr="00895101">
        <w:rPr>
          <w:shd w:val="clear" w:color="auto" w:fill="FFFFFF"/>
        </w:rPr>
        <w:t>Human Rights Act 1993</w:t>
      </w:r>
      <w:r w:rsidR="00F166FC">
        <w:rPr>
          <w:noProof/>
        </w:rPr>
        <w:t>[18]</w:t>
      </w:r>
      <w:r w:rsidR="00611BF5">
        <w:t>.</w:t>
      </w:r>
    </w:p>
    <w:p w14:paraId="503BE88D" w14:textId="77777777" w:rsidR="003A2819" w:rsidRPr="00C75FA6" w:rsidRDefault="003A2819" w:rsidP="0067169F">
      <w:pPr>
        <w:pStyle w:val="ListParagraph"/>
        <w:numPr>
          <w:ilvl w:val="0"/>
          <w:numId w:val="7"/>
        </w:numPr>
      </w:pPr>
      <w:r w:rsidRPr="00FB2592">
        <w:t xml:space="preserve">New </w:t>
      </w:r>
      <w:r w:rsidRPr="00C75FA6">
        <w:t>Zealand Public Health and Disability Act 2000</w:t>
      </w:r>
      <w:r w:rsidR="00F166FC">
        <w:rPr>
          <w:noProof/>
        </w:rPr>
        <w:t>[19]</w:t>
      </w:r>
      <w:r w:rsidR="00611BF5">
        <w:t>.</w:t>
      </w:r>
    </w:p>
    <w:p w14:paraId="2555551F" w14:textId="78AC5ECA" w:rsidR="00B90775" w:rsidRDefault="009E7B3F" w:rsidP="0067169F">
      <w:pPr>
        <w:pStyle w:val="Heading2"/>
      </w:pPr>
      <w:bookmarkStart w:id="25" w:name="_Toc23146089"/>
      <w:bookmarkStart w:id="26" w:name="_Toc42100158"/>
      <w:r>
        <w:t>Orientation and Mobility Association of Australasia</w:t>
      </w:r>
      <w:bookmarkEnd w:id="25"/>
      <w:bookmarkEnd w:id="26"/>
      <w:r>
        <w:t xml:space="preserve"> </w:t>
      </w:r>
    </w:p>
    <w:p w14:paraId="55AF4F51" w14:textId="77777777" w:rsidR="00B90775" w:rsidRDefault="00B90775" w:rsidP="00045C26">
      <w:pPr>
        <w:pStyle w:val="Bodytext"/>
        <w:rPr>
          <w:lang w:val="en-US"/>
        </w:rPr>
      </w:pPr>
      <w:r>
        <w:rPr>
          <w:lang w:val="en-US"/>
        </w:rPr>
        <w:t>The OMAA Quality Framework</w:t>
      </w:r>
      <w:r w:rsidR="00F166FC">
        <w:rPr>
          <w:noProof/>
          <w:lang w:val="en-US"/>
        </w:rPr>
        <w:t>[20]</w:t>
      </w:r>
      <w:r w:rsidR="00B32FA2">
        <w:rPr>
          <w:lang w:val="en-US"/>
        </w:rPr>
        <w:t xml:space="preserve"> </w:t>
      </w:r>
      <w:r>
        <w:rPr>
          <w:lang w:val="en-US"/>
        </w:rPr>
        <w:t>includes</w:t>
      </w:r>
      <w:r w:rsidR="00EB49DC">
        <w:rPr>
          <w:lang w:val="en-US"/>
        </w:rPr>
        <w:t xml:space="preserve"> the</w:t>
      </w:r>
      <w:r w:rsidR="00681A0A">
        <w:rPr>
          <w:lang w:val="en-US"/>
        </w:rPr>
        <w:t xml:space="preserve"> following elements</w:t>
      </w:r>
      <w:r w:rsidR="00912EB4">
        <w:rPr>
          <w:lang w:val="en-US"/>
        </w:rPr>
        <w:t>:</w:t>
      </w:r>
      <w:r w:rsidR="008E1C5D">
        <w:rPr>
          <w:lang w:val="en-US"/>
        </w:rPr>
        <w:t xml:space="preserve"> </w:t>
      </w:r>
    </w:p>
    <w:p w14:paraId="4182B416" w14:textId="77777777" w:rsidR="00B90775" w:rsidRDefault="00B90775" w:rsidP="0067169F">
      <w:pPr>
        <w:pStyle w:val="ListParagraph"/>
        <w:numPr>
          <w:ilvl w:val="0"/>
          <w:numId w:val="5"/>
        </w:numPr>
      </w:pPr>
      <w:r w:rsidRPr="007A7206">
        <w:t>OMAA Code of Ethics</w:t>
      </w:r>
      <w:r w:rsidR="00611BF5">
        <w:t>.</w:t>
      </w:r>
    </w:p>
    <w:p w14:paraId="4E438BC7" w14:textId="77777777" w:rsidR="00B90775" w:rsidRPr="005154D7" w:rsidRDefault="00B90775" w:rsidP="0067169F">
      <w:pPr>
        <w:pStyle w:val="ListParagraph"/>
        <w:numPr>
          <w:ilvl w:val="0"/>
          <w:numId w:val="5"/>
        </w:numPr>
      </w:pPr>
      <w:r>
        <w:t>OMAA O&amp;M Scope of Practice</w:t>
      </w:r>
      <w:r w:rsidR="00611BF5">
        <w:t>.</w:t>
      </w:r>
    </w:p>
    <w:p w14:paraId="10563EB1" w14:textId="77777777" w:rsidR="00B90775" w:rsidRPr="007A7206" w:rsidRDefault="00B90775" w:rsidP="0067169F">
      <w:pPr>
        <w:pStyle w:val="ListParagraph"/>
        <w:numPr>
          <w:ilvl w:val="0"/>
          <w:numId w:val="5"/>
        </w:numPr>
      </w:pPr>
      <w:r w:rsidRPr="006012F3">
        <w:t xml:space="preserve">Certified </w:t>
      </w:r>
      <w:r w:rsidR="00F87FA0">
        <w:t>O&amp;M Specialist</w:t>
      </w:r>
      <w:r>
        <w:t xml:space="preserve"> (COMS</w:t>
      </w:r>
      <w:r w:rsidRPr="006012F3">
        <w:t>) program</w:t>
      </w:r>
      <w:r>
        <w:t xml:space="preserve">, </w:t>
      </w:r>
      <w:r w:rsidRPr="006012F3">
        <w:t>benchmark</w:t>
      </w:r>
      <w:r>
        <w:t>ing</w:t>
      </w:r>
      <w:r w:rsidRPr="006012F3">
        <w:t xml:space="preserve"> entry-level </w:t>
      </w:r>
      <w:r w:rsidR="00EB49DC">
        <w:t xml:space="preserve">professional </w:t>
      </w:r>
      <w:r>
        <w:t>standards</w:t>
      </w:r>
      <w:r w:rsidR="00611BF5">
        <w:t>.</w:t>
      </w:r>
    </w:p>
    <w:p w14:paraId="57AFC745" w14:textId="77777777" w:rsidR="00B90775" w:rsidRDefault="00B90775" w:rsidP="0067169F">
      <w:pPr>
        <w:pStyle w:val="ListParagraph"/>
        <w:numPr>
          <w:ilvl w:val="0"/>
          <w:numId w:val="5"/>
        </w:numPr>
      </w:pPr>
      <w:r w:rsidRPr="006012F3">
        <w:t xml:space="preserve">OMAA Standards of </w:t>
      </w:r>
      <w:r w:rsidR="00B32FA2">
        <w:t>Professional</w:t>
      </w:r>
      <w:r w:rsidRPr="006012F3">
        <w:t xml:space="preserve"> Practice</w:t>
      </w:r>
      <w:r w:rsidR="00B32FA2">
        <w:t xml:space="preserve"> </w:t>
      </w:r>
      <w:r w:rsidR="00F166FC">
        <w:rPr>
          <w:noProof/>
        </w:rPr>
        <w:t>[21]</w:t>
      </w:r>
      <w:r w:rsidR="00B32FA2">
        <w:t>, benchmarking exemplary standards</w:t>
      </w:r>
      <w:r w:rsidR="00611BF5">
        <w:t>.</w:t>
      </w:r>
    </w:p>
    <w:p w14:paraId="0D7C7A09" w14:textId="77777777" w:rsidR="00B90775" w:rsidRDefault="00B90775" w:rsidP="0067169F">
      <w:pPr>
        <w:pStyle w:val="ListParagraph"/>
        <w:numPr>
          <w:ilvl w:val="0"/>
          <w:numId w:val="5"/>
        </w:numPr>
      </w:pPr>
      <w:r>
        <w:t>Annual membership renewal declaring fitness to practice</w:t>
      </w:r>
      <w:r w:rsidR="00611BF5">
        <w:t>.</w:t>
      </w:r>
      <w:r>
        <w:t xml:space="preserve"> </w:t>
      </w:r>
    </w:p>
    <w:p w14:paraId="7B62682F" w14:textId="77777777" w:rsidR="00B90775" w:rsidRPr="00B32FA2" w:rsidRDefault="00B90775" w:rsidP="0067169F">
      <w:pPr>
        <w:pStyle w:val="ListParagraph"/>
        <w:numPr>
          <w:ilvl w:val="0"/>
          <w:numId w:val="5"/>
        </w:numPr>
      </w:pPr>
      <w:r w:rsidRPr="00B32FA2">
        <w:t>Grievance procedures for professional discipline, suspension and deregistration</w:t>
      </w:r>
      <w:r w:rsidR="00611BF5">
        <w:t>.</w:t>
      </w:r>
    </w:p>
    <w:p w14:paraId="0943C6C4" w14:textId="77777777" w:rsidR="00B90775" w:rsidRPr="00B32FA2" w:rsidRDefault="00B32FA2" w:rsidP="0067169F">
      <w:pPr>
        <w:pStyle w:val="ListParagraph"/>
        <w:numPr>
          <w:ilvl w:val="0"/>
          <w:numId w:val="5"/>
        </w:numPr>
      </w:pPr>
      <w:r>
        <w:t xml:space="preserve">Eligibility criteria for </w:t>
      </w:r>
      <w:r w:rsidRPr="00B32FA2">
        <w:t>Registered O&amp;M Specialists</w:t>
      </w:r>
      <w:r w:rsidR="00D90BF5">
        <w:t xml:space="preserve"> in Australasia</w:t>
      </w:r>
      <w:r w:rsidRPr="00B32FA2">
        <w:t xml:space="preserve"> </w:t>
      </w:r>
      <w:hyperlink r:id="rId14" w:history="1">
        <w:r w:rsidRPr="00B32FA2">
          <w:rPr>
            <w:rStyle w:val="Hyperlink"/>
          </w:rPr>
          <w:t>www.omaaustralasia.com/register/</w:t>
        </w:r>
      </w:hyperlink>
      <w:r w:rsidR="00611BF5">
        <w:rPr>
          <w:rStyle w:val="Hyperlink"/>
          <w:u w:val="none"/>
        </w:rPr>
        <w:t>.</w:t>
      </w:r>
    </w:p>
    <w:p w14:paraId="082D1211" w14:textId="77777777" w:rsidR="002D2572" w:rsidRPr="008F6BE5" w:rsidRDefault="00D54A64" w:rsidP="00045C26">
      <w:pPr>
        <w:pStyle w:val="Bodytext"/>
      </w:pPr>
      <w:r>
        <w:t>O&amp;M S</w:t>
      </w:r>
      <w:r w:rsidR="00F446D6">
        <w:t>tudents are encouraged to join OMAA to develop professional networks that support their learning, internship and employment</w:t>
      </w:r>
      <w:r w:rsidR="00154CC0">
        <w:t xml:space="preserve">. </w:t>
      </w:r>
      <w:r w:rsidR="009E7B3F">
        <w:t xml:space="preserve">O&amp;M graduates are encouraged to apply for full OMAA </w:t>
      </w:r>
      <w:r w:rsidR="00103F20">
        <w:t>m</w:t>
      </w:r>
      <w:r w:rsidR="009E7B3F">
        <w:t>embershi</w:t>
      </w:r>
      <w:r w:rsidR="00103F20">
        <w:t>p, certification and r</w:t>
      </w:r>
      <w:r w:rsidR="009E7B3F">
        <w:t xml:space="preserve">egistration within the first 12 months of </w:t>
      </w:r>
      <w:r w:rsidR="00590DA7">
        <w:t xml:space="preserve">qualified </w:t>
      </w:r>
      <w:r w:rsidR="009E7B3F">
        <w:t>employment.</w:t>
      </w:r>
      <w:r w:rsidR="009E7B3F" w:rsidRPr="000329AC">
        <w:t xml:space="preserve"> </w:t>
      </w:r>
    </w:p>
    <w:p w14:paraId="441AC6E1" w14:textId="2E2AF5E9" w:rsidR="00EB49DC" w:rsidRPr="0067169F" w:rsidRDefault="00777F98" w:rsidP="0067169F">
      <w:pPr>
        <w:pStyle w:val="Heading2"/>
      </w:pPr>
      <w:bookmarkStart w:id="27" w:name="_Toc23146090"/>
      <w:bookmarkStart w:id="28" w:name="_Toc42100159"/>
      <w:r w:rsidRPr="0067169F">
        <w:t>COMS Program</w:t>
      </w:r>
      <w:bookmarkEnd w:id="27"/>
      <w:bookmarkEnd w:id="28"/>
    </w:p>
    <w:p w14:paraId="524C8220" w14:textId="77777777" w:rsidR="00EB49DC" w:rsidRDefault="00103F20" w:rsidP="00045C26">
      <w:pPr>
        <w:pStyle w:val="Bodytext"/>
      </w:pPr>
      <w:r>
        <w:rPr>
          <w:lang w:val="en-US"/>
        </w:rPr>
        <w:t>The Australasian industry</w:t>
      </w:r>
      <w:r w:rsidR="002D2572">
        <w:rPr>
          <w:lang w:val="en-US"/>
        </w:rPr>
        <w:t xml:space="preserve"> </w:t>
      </w:r>
      <w:r w:rsidR="00EB49DC">
        <w:rPr>
          <w:lang w:val="en-US"/>
        </w:rPr>
        <w:t xml:space="preserve">is too small to </w:t>
      </w:r>
      <w:r w:rsidR="00681A0A">
        <w:rPr>
          <w:lang w:val="en-US"/>
        </w:rPr>
        <w:t xml:space="preserve">fund, </w:t>
      </w:r>
      <w:r w:rsidR="00EB49DC">
        <w:rPr>
          <w:lang w:val="en-US"/>
        </w:rPr>
        <w:t>establish</w:t>
      </w:r>
      <w:r w:rsidR="00681A0A">
        <w:rPr>
          <w:lang w:val="en-US"/>
        </w:rPr>
        <w:t xml:space="preserve"> and</w:t>
      </w:r>
      <w:r w:rsidR="00EB49DC">
        <w:rPr>
          <w:lang w:val="en-US"/>
        </w:rPr>
        <w:t xml:space="preserve"> maintain an independent certification program</w:t>
      </w:r>
      <w:r>
        <w:rPr>
          <w:lang w:val="en-US"/>
        </w:rPr>
        <w:t xml:space="preserve"> and so</w:t>
      </w:r>
      <w:r w:rsidRPr="00103F20">
        <w:rPr>
          <w:lang w:val="en-US"/>
        </w:rPr>
        <w:t xml:space="preserve"> </w:t>
      </w:r>
      <w:r>
        <w:rPr>
          <w:lang w:val="en-US"/>
        </w:rPr>
        <w:t>the OMAA adopted the US-based COMS program</w:t>
      </w:r>
      <w:r>
        <w:rPr>
          <w:noProof/>
          <w:lang w:val="en-US"/>
        </w:rPr>
        <w:t>[8]</w:t>
      </w:r>
      <w:r>
        <w:rPr>
          <w:lang w:val="en-US"/>
        </w:rPr>
        <w:t xml:space="preserve"> in 2013.</w:t>
      </w:r>
      <w:r w:rsidR="00EB49DC">
        <w:rPr>
          <w:lang w:val="en-US"/>
        </w:rPr>
        <w:t xml:space="preserve"> </w:t>
      </w:r>
      <w:r w:rsidR="00BC7293">
        <w:rPr>
          <w:lang w:val="en-US"/>
        </w:rPr>
        <w:lastRenderedPageBreak/>
        <w:t xml:space="preserve">There are </w:t>
      </w:r>
      <w:r w:rsidR="00912EB4">
        <w:t>representatives</w:t>
      </w:r>
      <w:r w:rsidR="00EB49DC">
        <w:t xml:space="preserve"> from Australia and New Zealand on the COMS Subject Matter Expert Committee</w:t>
      </w:r>
      <w:r w:rsidR="00BC7293">
        <w:t>.</w:t>
      </w:r>
    </w:p>
    <w:p w14:paraId="5C28DE0A" w14:textId="77777777" w:rsidR="00DF6593" w:rsidRDefault="00DF6593" w:rsidP="00045C26">
      <w:pPr>
        <w:pStyle w:val="Bodytext"/>
      </w:pPr>
      <w:r>
        <w:t>The COMS program provides</w:t>
      </w:r>
      <w:r w:rsidRPr="00871CA3">
        <w:t xml:space="preserve"> </w:t>
      </w:r>
      <w:r w:rsidR="002D2572">
        <w:t xml:space="preserve">the OMAA with </w:t>
      </w:r>
      <w:r w:rsidR="00D90BF5">
        <w:t xml:space="preserve">an </w:t>
      </w:r>
      <w:r>
        <w:t>external</w:t>
      </w:r>
      <w:r w:rsidR="00B32FA2">
        <w:t xml:space="preserve">, internationally recognised </w:t>
      </w:r>
      <w:r w:rsidR="00103F20">
        <w:t xml:space="preserve">credential and standards </w:t>
      </w:r>
      <w:r w:rsidR="00912EB4">
        <w:t>for:</w:t>
      </w:r>
    </w:p>
    <w:p w14:paraId="26DB0C5D" w14:textId="77777777" w:rsidR="00DF6593" w:rsidRDefault="00DF6593" w:rsidP="0067169F">
      <w:pPr>
        <w:pStyle w:val="ListParagraph"/>
        <w:numPr>
          <w:ilvl w:val="0"/>
          <w:numId w:val="8"/>
        </w:numPr>
      </w:pPr>
      <w:r>
        <w:t xml:space="preserve">developing, </w:t>
      </w:r>
      <w:r w:rsidR="00590DA7">
        <w:t xml:space="preserve">delivering, </w:t>
      </w:r>
      <w:r>
        <w:t>evaluating and improving comprehensive O&amp;M qualifications</w:t>
      </w:r>
      <w:r w:rsidR="00611BF5">
        <w:t>.</w:t>
      </w:r>
      <w:r>
        <w:t xml:space="preserve">  </w:t>
      </w:r>
    </w:p>
    <w:p w14:paraId="3C760063" w14:textId="77777777" w:rsidR="00DF6593" w:rsidRDefault="005C2981" w:rsidP="0067169F">
      <w:pPr>
        <w:pStyle w:val="ListParagraph"/>
        <w:numPr>
          <w:ilvl w:val="0"/>
          <w:numId w:val="8"/>
        </w:numPr>
      </w:pPr>
      <w:r>
        <w:t>distinguishing between</w:t>
      </w:r>
      <w:r w:rsidR="00DF6593">
        <w:t xml:space="preserve"> fully qualified </w:t>
      </w:r>
      <w:r w:rsidR="00F87FA0">
        <w:t>O&amp;M Specialist</w:t>
      </w:r>
      <w:r w:rsidR="00DF6593">
        <w:t xml:space="preserve">s </w:t>
      </w:r>
      <w:r>
        <w:t xml:space="preserve">and O&amp;M </w:t>
      </w:r>
      <w:r w:rsidR="00891F07">
        <w:t>support people</w:t>
      </w:r>
      <w:r w:rsidR="00611BF5">
        <w:t>.</w:t>
      </w:r>
    </w:p>
    <w:p w14:paraId="15F99D13" w14:textId="77777777" w:rsidR="00DF6593" w:rsidRDefault="00DF6593" w:rsidP="0067169F">
      <w:pPr>
        <w:pStyle w:val="ListParagraph"/>
        <w:numPr>
          <w:ilvl w:val="0"/>
          <w:numId w:val="8"/>
        </w:numPr>
      </w:pPr>
      <w:r>
        <w:t xml:space="preserve">supporting </w:t>
      </w:r>
      <w:r w:rsidR="001A21B2">
        <w:t>movement of the O&amp;M workforce</w:t>
      </w:r>
      <w:r>
        <w:t xml:space="preserve"> between </w:t>
      </w:r>
      <w:r w:rsidR="00D90BF5">
        <w:t>agency employment and private practice</w:t>
      </w:r>
      <w:r w:rsidR="00611BF5">
        <w:t>.</w:t>
      </w:r>
    </w:p>
    <w:p w14:paraId="240BA3D7" w14:textId="77777777" w:rsidR="00DF6593" w:rsidRDefault="00590DA7" w:rsidP="0067169F">
      <w:pPr>
        <w:pStyle w:val="ListParagraph"/>
        <w:numPr>
          <w:ilvl w:val="0"/>
          <w:numId w:val="8"/>
        </w:numPr>
      </w:pPr>
      <w:r>
        <w:t>undertaking</w:t>
      </w:r>
      <w:r w:rsidR="00DF6593">
        <w:t xml:space="preserve"> professional development to maintain and improve individual O&amp;M practice</w:t>
      </w:r>
      <w:r w:rsidR="00611BF5">
        <w:t>.</w:t>
      </w:r>
    </w:p>
    <w:p w14:paraId="6D9942F3" w14:textId="77777777" w:rsidR="001A21B2" w:rsidRPr="00C445A0" w:rsidRDefault="00EB49DC" w:rsidP="00045C26">
      <w:pPr>
        <w:pStyle w:val="Bodytext"/>
        <w:rPr>
          <w:color w:val="0000FF"/>
          <w:u w:val="single"/>
        </w:rPr>
      </w:pPr>
      <w:r>
        <w:t xml:space="preserve">To become a COMS, an </w:t>
      </w:r>
      <w:r w:rsidR="00F87FA0">
        <w:t>O&amp;M Specialist</w:t>
      </w:r>
      <w:r>
        <w:t xml:space="preserve"> must</w:t>
      </w:r>
      <w:r w:rsidRPr="006C6F3E">
        <w:t xml:space="preserve"> </w:t>
      </w:r>
      <w:r>
        <w:t xml:space="preserve">provide evidence of </w:t>
      </w:r>
      <w:r w:rsidR="005C2981">
        <w:t>eligibility</w:t>
      </w:r>
      <w:r w:rsidR="00992885">
        <w:t xml:space="preserve"> (qualifications and workplace experience)</w:t>
      </w:r>
      <w:r w:rsidR="005C2981">
        <w:t>,</w:t>
      </w:r>
      <w:r w:rsidRPr="006C6F3E">
        <w:t xml:space="preserve"> pass the COMS exam and receive </w:t>
      </w:r>
      <w:r>
        <w:t xml:space="preserve">formal </w:t>
      </w:r>
      <w:r w:rsidRPr="006C6F3E">
        <w:t xml:space="preserve">certification from </w:t>
      </w:r>
      <w:r>
        <w:t>ACVREP</w:t>
      </w:r>
      <w:r w:rsidR="001A21B2">
        <w:rPr>
          <w:noProof/>
        </w:rPr>
        <w:t>[8]</w:t>
      </w:r>
      <w:r>
        <w:t>. This certification must be renewed every five years, with 100 points</w:t>
      </w:r>
      <w:r w:rsidR="002D2572">
        <w:t>’</w:t>
      </w:r>
      <w:r>
        <w:t xml:space="preserve"> evidence of professional development. </w:t>
      </w:r>
    </w:p>
    <w:p w14:paraId="2BAA47EF" w14:textId="77777777" w:rsidR="00B90775" w:rsidRDefault="00B90775" w:rsidP="0067169F">
      <w:pPr>
        <w:pStyle w:val="Heading2"/>
      </w:pPr>
      <w:bookmarkStart w:id="29" w:name="_Toc23146092"/>
      <w:bookmarkStart w:id="30" w:name="_Toc42100160"/>
      <w:r>
        <w:t>O&amp;M Qualifications</w:t>
      </w:r>
      <w:r w:rsidR="00DF6593">
        <w:t xml:space="preserve"> in Austral</w:t>
      </w:r>
      <w:bookmarkEnd w:id="29"/>
      <w:r w:rsidR="00D54A64">
        <w:t>ia and New Zealand</w:t>
      </w:r>
      <w:bookmarkEnd w:id="30"/>
    </w:p>
    <w:p w14:paraId="3E9665C7" w14:textId="77777777" w:rsidR="000F4665" w:rsidRDefault="00992885" w:rsidP="00045C26">
      <w:pPr>
        <w:pStyle w:val="Bodytext"/>
        <w:rPr>
          <w:lang w:val="en-US"/>
        </w:rPr>
      </w:pPr>
      <w:r>
        <w:rPr>
          <w:lang w:val="en-US"/>
        </w:rPr>
        <w:t>A COMS is expected to have a bachelor’s degree or higher qualification</w:t>
      </w:r>
      <w:r>
        <w:rPr>
          <w:rStyle w:val="FootnoteReference"/>
          <w:lang w:val="en-US"/>
        </w:rPr>
        <w:footnoteReference w:id="3"/>
      </w:r>
      <w:r>
        <w:rPr>
          <w:lang w:val="en-US"/>
        </w:rPr>
        <w:t>, locating the O&amp;M profession academically amongst other allied health and education professions. The Body of Knowledge listed in the COMS Handbook</w:t>
      </w:r>
      <w:r>
        <w:rPr>
          <w:noProof/>
          <w:lang w:val="en-US"/>
        </w:rPr>
        <w:t>[8]</w:t>
      </w:r>
      <w:r>
        <w:rPr>
          <w:lang w:val="en-US"/>
        </w:rPr>
        <w:t xml:space="preserve"> details the content considered essential in a comprehensive O&amp;M qualification.</w:t>
      </w:r>
      <w:r w:rsidRPr="00AB2AD2">
        <w:rPr>
          <w:lang w:val="en-US"/>
        </w:rPr>
        <w:t xml:space="preserve"> </w:t>
      </w:r>
      <w:r w:rsidR="00CE2CDE">
        <w:rPr>
          <w:lang w:val="en-US"/>
        </w:rPr>
        <w:t xml:space="preserve">Most trainee O&amp;M Specialists in Australia and New Zealand already have a bachelor’s degree in a related field, bringing richness and diversity to the O&amp;M workforce. </w:t>
      </w:r>
      <w:r w:rsidR="00103F20">
        <w:rPr>
          <w:lang w:val="en-US"/>
        </w:rPr>
        <w:t>A shorter</w:t>
      </w:r>
      <w:r w:rsidR="00CE2CDE">
        <w:rPr>
          <w:lang w:val="en-US"/>
        </w:rPr>
        <w:t xml:space="preserve"> O&amp;M qualification builds on this prior knowledge.</w:t>
      </w:r>
    </w:p>
    <w:p w14:paraId="2ACB67D9" w14:textId="77777777" w:rsidR="005C2981" w:rsidRDefault="000F4665" w:rsidP="00045C26">
      <w:pPr>
        <w:pStyle w:val="Bodytext"/>
        <w:rPr>
          <w:lang w:val="en-US"/>
        </w:rPr>
      </w:pPr>
      <w:r>
        <w:rPr>
          <w:lang w:val="en-US"/>
        </w:rPr>
        <w:t xml:space="preserve">An </w:t>
      </w:r>
      <w:r w:rsidR="002D2572" w:rsidRPr="006D442E">
        <w:rPr>
          <w:lang w:val="en-US"/>
        </w:rPr>
        <w:t>O&amp;M qualification</w:t>
      </w:r>
      <w:r>
        <w:rPr>
          <w:lang w:val="en-US"/>
        </w:rPr>
        <w:t xml:space="preserve"> is </w:t>
      </w:r>
      <w:r w:rsidR="002D2572" w:rsidRPr="006D442E">
        <w:rPr>
          <w:lang w:val="en-US"/>
        </w:rPr>
        <w:t>comprised of academic and embodied learning</w:t>
      </w:r>
      <w:r w:rsidR="00AF23F2">
        <w:rPr>
          <w:lang w:val="en-US"/>
        </w:rPr>
        <w:t xml:space="preserve"> whereby s</w:t>
      </w:r>
      <w:r w:rsidR="002D2572" w:rsidRPr="006D442E">
        <w:rPr>
          <w:lang w:val="en-US"/>
        </w:rPr>
        <w:t xml:space="preserve">tudents typically work in pairs to teach and learn the blind mobility skillset and </w:t>
      </w:r>
      <w:r w:rsidR="00AF0CE6">
        <w:rPr>
          <w:lang w:val="en-US"/>
        </w:rPr>
        <w:t>low vision travel skills</w:t>
      </w:r>
      <w:r w:rsidR="00BC7293">
        <w:rPr>
          <w:lang w:val="en-US"/>
        </w:rPr>
        <w:t>,</w:t>
      </w:r>
      <w:r w:rsidR="005C2981">
        <w:rPr>
          <w:lang w:val="en-US"/>
        </w:rPr>
        <w:t xml:space="preserve"> </w:t>
      </w:r>
      <w:r w:rsidR="00AF0CE6">
        <w:rPr>
          <w:lang w:val="en-US"/>
        </w:rPr>
        <w:t>alternat</w:t>
      </w:r>
      <w:r w:rsidR="00BC7293">
        <w:rPr>
          <w:lang w:val="en-US"/>
        </w:rPr>
        <w:t xml:space="preserve">ing </w:t>
      </w:r>
      <w:r w:rsidR="00AF0CE6">
        <w:rPr>
          <w:lang w:val="en-US"/>
        </w:rPr>
        <w:t xml:space="preserve">between </w:t>
      </w:r>
      <w:r w:rsidR="00926DA8">
        <w:rPr>
          <w:lang w:val="en-US"/>
        </w:rPr>
        <w:t xml:space="preserve">instructor </w:t>
      </w:r>
      <w:r w:rsidR="00AF0CE6">
        <w:rPr>
          <w:lang w:val="en-US"/>
        </w:rPr>
        <w:t>and client role</w:t>
      </w:r>
      <w:r w:rsidR="00A9432D">
        <w:rPr>
          <w:lang w:val="en-US"/>
        </w:rPr>
        <w:t>s</w:t>
      </w:r>
      <w:r w:rsidR="00AF0CE6">
        <w:rPr>
          <w:lang w:val="en-US"/>
        </w:rPr>
        <w:t>.</w:t>
      </w:r>
      <w:r w:rsidR="00293F12" w:rsidRPr="00293F12">
        <w:rPr>
          <w:lang w:val="en-US"/>
        </w:rPr>
        <w:t xml:space="preserve"> </w:t>
      </w:r>
      <w:r w:rsidR="00293F12">
        <w:rPr>
          <w:lang w:val="en-US"/>
        </w:rPr>
        <w:t xml:space="preserve">Students in the client role learn </w:t>
      </w:r>
      <w:r w:rsidR="00293F12" w:rsidRPr="006D442E">
        <w:rPr>
          <w:lang w:val="en-US"/>
        </w:rPr>
        <w:t xml:space="preserve">to use a long cane </w:t>
      </w:r>
      <w:r w:rsidR="00293F12">
        <w:rPr>
          <w:lang w:val="en-US"/>
        </w:rPr>
        <w:t xml:space="preserve">and </w:t>
      </w:r>
      <w:r w:rsidR="00293F12" w:rsidRPr="006D442E">
        <w:rPr>
          <w:lang w:val="en-US"/>
        </w:rPr>
        <w:t xml:space="preserve">other </w:t>
      </w:r>
      <w:r w:rsidR="00293F12">
        <w:rPr>
          <w:lang w:val="en-US"/>
        </w:rPr>
        <w:t>aids</w:t>
      </w:r>
      <w:r w:rsidR="00293F12" w:rsidRPr="006D442E">
        <w:rPr>
          <w:lang w:val="en-US"/>
        </w:rPr>
        <w:t xml:space="preserve"> </w:t>
      </w:r>
      <w:r w:rsidR="00293F12">
        <w:rPr>
          <w:lang w:val="en-US"/>
        </w:rPr>
        <w:t>to</w:t>
      </w:r>
      <w:r w:rsidR="00293F12" w:rsidRPr="006D442E">
        <w:rPr>
          <w:lang w:val="en-US"/>
        </w:rPr>
        <w:t xml:space="preserve"> </w:t>
      </w:r>
      <w:r w:rsidR="00293F12">
        <w:rPr>
          <w:lang w:val="en-US"/>
        </w:rPr>
        <w:t xml:space="preserve">travel confidently in the community </w:t>
      </w:r>
      <w:r w:rsidR="00293F12" w:rsidRPr="006D442E">
        <w:rPr>
          <w:lang w:val="en-US"/>
        </w:rPr>
        <w:t>with little or no vision</w:t>
      </w:r>
      <w:r w:rsidR="00293F12">
        <w:rPr>
          <w:lang w:val="en-US"/>
        </w:rPr>
        <w:t>, and then draw on this embodied knowledge throughout their professional practice</w:t>
      </w:r>
      <w:r w:rsidR="00293F12" w:rsidRPr="006D442E">
        <w:rPr>
          <w:lang w:val="en-US"/>
        </w:rPr>
        <w:t>.</w:t>
      </w:r>
      <w:r w:rsidR="00AF0CE6">
        <w:rPr>
          <w:lang w:val="en-US"/>
        </w:rPr>
        <w:t xml:space="preserve"> I</w:t>
      </w:r>
      <w:r w:rsidR="002D2572" w:rsidRPr="006D442E">
        <w:rPr>
          <w:lang w:val="en-US"/>
        </w:rPr>
        <w:t>t takes a</w:t>
      </w:r>
      <w:r w:rsidR="0099212F">
        <w:rPr>
          <w:lang w:val="en-US"/>
        </w:rPr>
        <w:t>ppro</w:t>
      </w:r>
      <w:r w:rsidR="00914598">
        <w:rPr>
          <w:lang w:val="en-US"/>
        </w:rPr>
        <w:t>ximately</w:t>
      </w:r>
      <w:r w:rsidR="002D2572" w:rsidRPr="006D442E">
        <w:rPr>
          <w:lang w:val="en-US"/>
        </w:rPr>
        <w:t xml:space="preserve"> 80 hours of blindfold/low vision travel experience in the client role to consolidate fundamental, embodied O&amp;M knowledge</w:t>
      </w:r>
      <w:r w:rsidR="00033750">
        <w:rPr>
          <w:rStyle w:val="FootnoteReference"/>
          <w:lang w:val="en-US"/>
        </w:rPr>
        <w:footnoteReference w:id="4"/>
      </w:r>
      <w:r w:rsidR="00926DA8">
        <w:rPr>
          <w:lang w:val="en-US"/>
        </w:rPr>
        <w:t>.</w:t>
      </w:r>
      <w:r w:rsidR="00AF0CE6">
        <w:rPr>
          <w:lang w:val="en-US"/>
        </w:rPr>
        <w:t xml:space="preserve"> </w:t>
      </w:r>
    </w:p>
    <w:p w14:paraId="585BC087" w14:textId="77777777" w:rsidR="00CE2CDE" w:rsidRDefault="00CE2CDE" w:rsidP="00045C26">
      <w:pPr>
        <w:pStyle w:val="Bodytext"/>
        <w:rPr>
          <w:lang w:val="en-US"/>
        </w:rPr>
      </w:pPr>
      <w:r>
        <w:rPr>
          <w:lang w:val="en-US"/>
        </w:rPr>
        <w:t>The COMS program also requires a</w:t>
      </w:r>
      <w:r>
        <w:t xml:space="preserve"> COMS-supervised professional placement/internship (minimum 350 hours) before a graduate O&amp;M Specialist is considered ready to work independently with clients. In Australia and New Zealand this internship might be part of the initial O&amp;M qualification or undertaken after graduation as part of early professional practice.</w:t>
      </w:r>
    </w:p>
    <w:p w14:paraId="52F5ECEF" w14:textId="77777777" w:rsidR="00CE2CDE" w:rsidRDefault="00CE2CDE" w:rsidP="00045C26">
      <w:pPr>
        <w:pStyle w:val="Bodytext"/>
        <w:rPr>
          <w:lang w:val="en-US"/>
        </w:rPr>
      </w:pPr>
      <w:r>
        <w:rPr>
          <w:lang w:val="en-US"/>
        </w:rPr>
        <w:t xml:space="preserve">A COMS-compliant O&amp;M qualification relies on collaboration between a university or registered training </w:t>
      </w:r>
      <w:r w:rsidRPr="007C442F">
        <w:t>organisation</w:t>
      </w:r>
      <w:r>
        <w:t xml:space="preserve"> (RTOs)</w:t>
      </w:r>
      <w:r>
        <w:rPr>
          <w:lang w:val="en-US"/>
        </w:rPr>
        <w:t xml:space="preserve"> and O&amp;M employers. Universities or RTOs</w:t>
      </w:r>
      <w:r w:rsidRPr="00DB4E8D">
        <w:rPr>
          <w:lang w:val="en-US"/>
        </w:rPr>
        <w:t xml:space="preserve"> </w:t>
      </w:r>
      <w:r>
        <w:rPr>
          <w:lang w:val="en-US"/>
        </w:rPr>
        <w:t>offer</w:t>
      </w:r>
      <w:r w:rsidRPr="00DB4E8D">
        <w:rPr>
          <w:lang w:val="en-US"/>
        </w:rPr>
        <w:t xml:space="preserve"> accredited qualifications, teaching spaces and resources</w:t>
      </w:r>
      <w:r>
        <w:rPr>
          <w:lang w:val="en-US"/>
        </w:rPr>
        <w:t xml:space="preserve">; </w:t>
      </w:r>
      <w:r w:rsidRPr="00DB4E8D">
        <w:rPr>
          <w:lang w:val="en-US"/>
        </w:rPr>
        <w:t>O&amp;M employers provide funding</w:t>
      </w:r>
      <w:r>
        <w:rPr>
          <w:lang w:val="en-US"/>
        </w:rPr>
        <w:t xml:space="preserve"> </w:t>
      </w:r>
      <w:r>
        <w:rPr>
          <w:lang w:val="en-US"/>
        </w:rPr>
        <w:lastRenderedPageBreak/>
        <w:t>and in-kind support</w:t>
      </w:r>
      <w:r w:rsidRPr="00DB4E8D">
        <w:rPr>
          <w:lang w:val="en-US"/>
        </w:rPr>
        <w:t xml:space="preserve">, subject matter expertise, supervisors in the practical skill development of </w:t>
      </w:r>
      <w:r>
        <w:rPr>
          <w:lang w:val="en-US"/>
        </w:rPr>
        <w:t>students</w:t>
      </w:r>
      <w:r w:rsidRPr="00DB4E8D">
        <w:rPr>
          <w:lang w:val="en-US"/>
        </w:rPr>
        <w:t>, a</w:t>
      </w:r>
      <w:r>
        <w:rPr>
          <w:lang w:val="en-US"/>
        </w:rPr>
        <w:t>s well as</w:t>
      </w:r>
      <w:r w:rsidRPr="00DB4E8D">
        <w:rPr>
          <w:lang w:val="en-US"/>
        </w:rPr>
        <w:t xml:space="preserve"> </w:t>
      </w:r>
      <w:r>
        <w:rPr>
          <w:lang w:val="en-US"/>
        </w:rPr>
        <w:t xml:space="preserve">opportunities for </w:t>
      </w:r>
      <w:r w:rsidRPr="00DB4E8D">
        <w:rPr>
          <w:lang w:val="en-US"/>
        </w:rPr>
        <w:t>placement</w:t>
      </w:r>
      <w:r>
        <w:rPr>
          <w:lang w:val="en-US"/>
        </w:rPr>
        <w:t>s/</w:t>
      </w:r>
      <w:r w:rsidRPr="00DB4E8D">
        <w:rPr>
          <w:lang w:val="en-US"/>
        </w:rPr>
        <w:t>internship</w:t>
      </w:r>
      <w:r>
        <w:rPr>
          <w:lang w:val="en-US"/>
        </w:rPr>
        <w:t xml:space="preserve"> and employment.</w:t>
      </w:r>
    </w:p>
    <w:p w14:paraId="3F8F6A43" w14:textId="77777777" w:rsidR="00992885" w:rsidRPr="003E17FA" w:rsidRDefault="00992885" w:rsidP="0067169F">
      <w:pPr>
        <w:pStyle w:val="Heading2"/>
      </w:pPr>
      <w:bookmarkStart w:id="31" w:name="_Toc23146091"/>
      <w:bookmarkStart w:id="32" w:name="_Toc42100161"/>
      <w:r w:rsidRPr="003E17FA">
        <w:t xml:space="preserve">Registered </w:t>
      </w:r>
      <w:r>
        <w:t>O&amp;M Specialist</w:t>
      </w:r>
      <w:bookmarkEnd w:id="31"/>
      <w:r>
        <w:t>s</w:t>
      </w:r>
      <w:bookmarkEnd w:id="32"/>
      <w:r w:rsidRPr="003E17FA">
        <w:t xml:space="preserve"> </w:t>
      </w:r>
    </w:p>
    <w:p w14:paraId="150BE2FC" w14:textId="004CEA5E" w:rsidR="00045C26" w:rsidRPr="00045C26" w:rsidRDefault="00992885" w:rsidP="00045C26">
      <w:pPr>
        <w:pStyle w:val="Bodytext"/>
        <w:rPr>
          <w:color w:val="00B0F0"/>
          <w:u w:val="single"/>
        </w:rPr>
      </w:pPr>
      <w:r>
        <w:t xml:space="preserve">A COMS who is also a member of the OMAA is eligible to become an OMAA Registered Orientation and Mobility Specialist in Australasia (ROMSA). </w:t>
      </w:r>
      <w:r w:rsidRPr="00365EF2">
        <w:t xml:space="preserve">The OMAA </w:t>
      </w:r>
      <w:r>
        <w:t xml:space="preserve">manages this registration and </w:t>
      </w:r>
      <w:r w:rsidRPr="00365EF2">
        <w:t>maintains a</w:t>
      </w:r>
      <w:r>
        <w:t xml:space="preserve"> publicly accessible list of</w:t>
      </w:r>
      <w:r w:rsidRPr="00365EF2">
        <w:t xml:space="preserve"> Register</w:t>
      </w:r>
      <w:r>
        <w:t>ed</w:t>
      </w:r>
      <w:r w:rsidRPr="00365EF2">
        <w:t xml:space="preserve"> O&amp;M </w:t>
      </w:r>
      <w:r>
        <w:t>Specialists at</w:t>
      </w:r>
      <w:r w:rsidRPr="00365EF2">
        <w:t xml:space="preserve"> </w:t>
      </w:r>
      <w:hyperlink r:id="rId15" w:history="1">
        <w:r w:rsidR="00045C26" w:rsidRPr="00166B31">
          <w:rPr>
            <w:rStyle w:val="Hyperlink"/>
          </w:rPr>
          <w:t xml:space="preserve">www.omaaustralasia.com/register/ </w:t>
        </w:r>
      </w:hyperlink>
    </w:p>
    <w:p w14:paraId="3441851A" w14:textId="6351B9FE" w:rsidR="00EC61DB" w:rsidRPr="00B7002F" w:rsidRDefault="00154CC0" w:rsidP="0067169F">
      <w:pPr>
        <w:pStyle w:val="Heading1"/>
      </w:pPr>
      <w:bookmarkStart w:id="33" w:name="_Toc22547302"/>
      <w:bookmarkStart w:id="34" w:name="_Toc23146093"/>
      <w:bookmarkStart w:id="35" w:name="_Toc42100162"/>
      <w:r>
        <w:t>O&amp;M r</w:t>
      </w:r>
      <w:r w:rsidR="00EC61DB" w:rsidRPr="00B7002F">
        <w:t>oles and scopes of practice</w:t>
      </w:r>
      <w:bookmarkEnd w:id="33"/>
      <w:bookmarkEnd w:id="34"/>
      <w:bookmarkEnd w:id="35"/>
    </w:p>
    <w:p w14:paraId="509C16BA" w14:textId="77777777" w:rsidR="008F6BE5" w:rsidRDefault="00CE1377" w:rsidP="00045C26">
      <w:pPr>
        <w:pStyle w:val="Bodytext"/>
      </w:pPr>
      <w:r w:rsidRPr="00C91509">
        <w:t>Four</w:t>
      </w:r>
      <w:r w:rsidR="00EC61DB" w:rsidRPr="00C91509">
        <w:t xml:space="preserve"> </w:t>
      </w:r>
      <w:r w:rsidRPr="00C91509">
        <w:t xml:space="preserve">O&amp;M </w:t>
      </w:r>
      <w:r w:rsidR="00EC61DB" w:rsidRPr="00C91509">
        <w:t xml:space="preserve">roles </w:t>
      </w:r>
      <w:r w:rsidR="00AF23F2" w:rsidRPr="00C91509">
        <w:t>and their</w:t>
      </w:r>
      <w:r w:rsidR="00EC61DB" w:rsidRPr="00C91509">
        <w:t xml:space="preserve"> scopes </w:t>
      </w:r>
      <w:r w:rsidR="008E1C5D" w:rsidRPr="00C91509">
        <w:t>of practice</w:t>
      </w:r>
      <w:r w:rsidR="00AF23F2" w:rsidRPr="00C91509">
        <w:t xml:space="preserve"> </w:t>
      </w:r>
      <w:r w:rsidR="00AF0CE6" w:rsidRPr="00C91509">
        <w:t xml:space="preserve">are </w:t>
      </w:r>
      <w:r w:rsidR="00EC61DB" w:rsidRPr="00C91509">
        <w:t>defined here in the context of O&amp;M</w:t>
      </w:r>
      <w:r w:rsidRPr="00C91509">
        <w:t>:</w:t>
      </w:r>
      <w:r w:rsidR="00EC61DB" w:rsidRPr="00C91509">
        <w:t xml:space="preserve"> </w:t>
      </w:r>
      <w:r w:rsidR="00F000D5" w:rsidRPr="00C91509">
        <w:t>G</w:t>
      </w:r>
      <w:r w:rsidR="00EC61DB" w:rsidRPr="00C91509">
        <w:t>eneral</w:t>
      </w:r>
      <w:r w:rsidRPr="00C91509">
        <w:t xml:space="preserve"> </w:t>
      </w:r>
      <w:r w:rsidR="00F000D5" w:rsidRPr="00C91509">
        <w:t>O&amp;M Specialist, Advanced O&amp;M Specialist, D</w:t>
      </w:r>
      <w:r w:rsidRPr="00C91509">
        <w:t>ual</w:t>
      </w:r>
      <w:r w:rsidR="00F000D5" w:rsidRPr="00C91509">
        <w:t>-</w:t>
      </w:r>
      <w:r w:rsidRPr="00C91509">
        <w:t>qualified O&amp;M Specialist</w:t>
      </w:r>
      <w:r w:rsidR="00201DB2" w:rsidRPr="00C91509">
        <w:t xml:space="preserve"> and Guide Dog Mobility Instructor</w:t>
      </w:r>
      <w:r w:rsidR="00201DB2" w:rsidRPr="002B413E">
        <w:t>.</w:t>
      </w:r>
    </w:p>
    <w:p w14:paraId="0F20C713" w14:textId="77777777" w:rsidR="00EC61DB" w:rsidRDefault="00EC61DB" w:rsidP="0067169F">
      <w:pPr>
        <w:pStyle w:val="Heading2"/>
      </w:pPr>
      <w:bookmarkStart w:id="36" w:name="_Toc23146094"/>
      <w:bookmarkStart w:id="37" w:name="_Toc42100163"/>
      <w:r>
        <w:t xml:space="preserve">General </w:t>
      </w:r>
      <w:r w:rsidR="00F87FA0">
        <w:t>O&amp;M Specialist</w:t>
      </w:r>
      <w:bookmarkEnd w:id="36"/>
      <w:bookmarkEnd w:id="37"/>
    </w:p>
    <w:p w14:paraId="7781CDC9" w14:textId="77777777" w:rsidR="00160041" w:rsidRDefault="00160041" w:rsidP="00045C26">
      <w:pPr>
        <w:pStyle w:val="Bodytext"/>
      </w:pPr>
      <w:r w:rsidRPr="006C6F3E">
        <w:t xml:space="preserve">A </w:t>
      </w:r>
      <w:r>
        <w:t>general</w:t>
      </w:r>
      <w:r w:rsidRPr="006C6F3E">
        <w:t xml:space="preserve"> </w:t>
      </w:r>
      <w:r w:rsidR="00F87FA0">
        <w:t>O&amp;M Specialist</w:t>
      </w:r>
      <w:r w:rsidRPr="006C6F3E">
        <w:t xml:space="preserve"> </w:t>
      </w:r>
      <w:r>
        <w:t xml:space="preserve">provides services </w:t>
      </w:r>
      <w:r w:rsidRPr="000329AC">
        <w:t xml:space="preserve">commensurate with minimum </w:t>
      </w:r>
      <w:r w:rsidR="00AF23F2">
        <w:t>graduate/</w:t>
      </w:r>
      <w:r w:rsidRPr="000329AC">
        <w:t>entry</w:t>
      </w:r>
      <w:r w:rsidR="008F17BD">
        <w:t>-</w:t>
      </w:r>
      <w:r w:rsidRPr="000329AC">
        <w:t>level</w:t>
      </w:r>
      <w:r w:rsidR="00AF23F2">
        <w:t xml:space="preserve"> </w:t>
      </w:r>
      <w:r w:rsidRPr="000329AC">
        <w:t xml:space="preserve"> competencies, knowledge and skills</w:t>
      </w:r>
      <w:r w:rsidR="007E56C4">
        <w:t xml:space="preserve"> </w:t>
      </w:r>
      <w:r w:rsidR="008F17BD">
        <w:t>as defined by the COMS program</w:t>
      </w:r>
      <w:r w:rsidR="00291FC9">
        <w:rPr>
          <w:noProof/>
        </w:rPr>
        <w:t>[8]</w:t>
      </w:r>
      <w:r>
        <w:t xml:space="preserve">. </w:t>
      </w:r>
      <w:r w:rsidR="00FD7507">
        <w:t xml:space="preserve">General </w:t>
      </w:r>
      <w:r w:rsidR="00F87FA0">
        <w:t>O&amp;M Specialist</w:t>
      </w:r>
      <w:r w:rsidR="00FD7507">
        <w:t xml:space="preserve">s, whether acting in a paid or voluntary capacity, may practice any activity that falls within the broad scope of O&amp;M providing that they are appropriately educated, credentialed and competent to practice. </w:t>
      </w:r>
    </w:p>
    <w:p w14:paraId="49C08677" w14:textId="25627B24" w:rsidR="00936C75" w:rsidRDefault="00936C75" w:rsidP="00045C26">
      <w:pPr>
        <w:pStyle w:val="Bodytext"/>
      </w:pPr>
      <w:r>
        <w:t>P</w:t>
      </w:r>
      <w:r w:rsidRPr="00DC7F34">
        <w:t xml:space="preserve">erson-centred </w:t>
      </w:r>
      <w:r>
        <w:t xml:space="preserve">O&amp;M practice </w:t>
      </w:r>
      <w:r w:rsidR="00B4740C">
        <w:t>must</w:t>
      </w:r>
      <w:r w:rsidRPr="00DC7F34">
        <w:t xml:space="preserve"> be sensitive to the unique needs of clients </w:t>
      </w:r>
      <w:r w:rsidR="00BA63D0">
        <w:t xml:space="preserve">and </w:t>
      </w:r>
      <w:r w:rsidRPr="00DC7F34">
        <w:t>changes in health care, education and travel environments. O&amp;M scope of practice is dynamic</w:t>
      </w:r>
      <w:r>
        <w:t>,</w:t>
      </w:r>
      <w:r w:rsidRPr="00DC7F34">
        <w:t xml:space="preserve"> including</w:t>
      </w:r>
      <w:r w:rsidR="008217C0">
        <w:t xml:space="preserve"> </w:t>
      </w:r>
      <w:r w:rsidR="00D90FE5">
        <w:t>both</w:t>
      </w:r>
      <w:r w:rsidRPr="00DC7F34">
        <w:t xml:space="preserve"> existing and emerging practices</w:t>
      </w:r>
      <w:r>
        <w:t xml:space="preserve">. </w:t>
      </w:r>
      <w:r w:rsidR="00F87FA0">
        <w:t>O&amp;M Specialist</w:t>
      </w:r>
      <w:r>
        <w:t xml:space="preserve">s working in innovative ways should be able to demonstrate and explain how their activities align with O&amp;M practice. </w:t>
      </w:r>
    </w:p>
    <w:p w14:paraId="79F3532D" w14:textId="77777777" w:rsidR="00B4740C" w:rsidRDefault="00FF00FD" w:rsidP="00045C26">
      <w:pPr>
        <w:pStyle w:val="Bodytext"/>
      </w:pPr>
      <w:r>
        <w:t>G</w:t>
      </w:r>
      <w:r w:rsidR="00EC61DB" w:rsidRPr="00E74989">
        <w:t>eneral</w:t>
      </w:r>
      <w:r w:rsidR="00160041">
        <w:t xml:space="preserve"> </w:t>
      </w:r>
      <w:r w:rsidR="00F87FA0">
        <w:t>O&amp;M Specialist</w:t>
      </w:r>
      <w:r>
        <w:t>s</w:t>
      </w:r>
      <w:r w:rsidR="00EC61DB" w:rsidRPr="00E74989">
        <w:t xml:space="preserve"> </w:t>
      </w:r>
      <w:r>
        <w:t>are</w:t>
      </w:r>
      <w:r w:rsidR="00EC61DB" w:rsidRPr="006C6F3E">
        <w:t xml:space="preserve"> </w:t>
      </w:r>
      <w:r w:rsidR="008D47A3">
        <w:t>qualified</w:t>
      </w:r>
      <w:r w:rsidR="00EC61DB" w:rsidRPr="006C6F3E">
        <w:t xml:space="preserve"> to work </w:t>
      </w:r>
      <w:r w:rsidR="00EC61DB">
        <w:t xml:space="preserve">independently </w:t>
      </w:r>
      <w:r w:rsidR="00EC61DB" w:rsidRPr="006C6F3E">
        <w:t xml:space="preserve">with clients of </w:t>
      </w:r>
      <w:r w:rsidR="00EC61DB" w:rsidRPr="00FF00FD">
        <w:t>any age who have low vision or blindness and other health, disability, learning or social complexities.</w:t>
      </w:r>
      <w:r w:rsidR="00160041" w:rsidRPr="00FF00FD">
        <w:t xml:space="preserve"> </w:t>
      </w:r>
      <w:r w:rsidR="00291FC9" w:rsidRPr="00291FC9">
        <w:t xml:space="preserve">The role </w:t>
      </w:r>
      <w:r w:rsidR="007E7338">
        <w:t xml:space="preserve">often </w:t>
      </w:r>
      <w:r w:rsidR="00291FC9" w:rsidRPr="00291FC9">
        <w:t>involves case management</w:t>
      </w:r>
      <w:r w:rsidR="00F000D5">
        <w:t xml:space="preserve"> of individual clients</w:t>
      </w:r>
      <w:r w:rsidR="00291FC9">
        <w:t xml:space="preserve">. </w:t>
      </w:r>
      <w:r w:rsidR="00483C83" w:rsidRPr="00FF00FD">
        <w:t>Shared decisions</w:t>
      </w:r>
      <w:r w:rsidR="00483C83">
        <w:t xml:space="preserve"> about client services are based on </w:t>
      </w:r>
      <w:r w:rsidR="00160041">
        <w:t xml:space="preserve">an </w:t>
      </w:r>
      <w:r w:rsidR="00483C83">
        <w:t xml:space="preserve">individual </w:t>
      </w:r>
      <w:r w:rsidR="00D7274F">
        <w:t>O&amp;M assessment</w:t>
      </w:r>
      <w:r w:rsidR="00483C83">
        <w:t xml:space="preserve"> that</w:t>
      </w:r>
      <w:r w:rsidR="00D7274F">
        <w:t xml:space="preserve"> </w:t>
      </w:r>
      <w:r w:rsidR="00483C83">
        <w:t>involves</w:t>
      </w:r>
      <w:r w:rsidR="00D7274F">
        <w:t xml:space="preserve"> interviewing the client and relevant stakeholders, reviewing </w:t>
      </w:r>
      <w:r w:rsidR="00B2330F">
        <w:t xml:space="preserve">relevant </w:t>
      </w:r>
      <w:r w:rsidR="00D7274F">
        <w:t xml:space="preserve">reports, and observing the client moving or travelling in lived environments. </w:t>
      </w:r>
      <w:r w:rsidR="00483C83">
        <w:t xml:space="preserve">This collaborative </w:t>
      </w:r>
      <w:r w:rsidR="00D7274F">
        <w:t xml:space="preserve">assessment </w:t>
      </w:r>
      <w:r w:rsidR="00B4740C">
        <w:t>considers</w:t>
      </w:r>
      <w:r w:rsidR="00D7274F">
        <w:t xml:space="preserve"> functional vision, </w:t>
      </w:r>
      <w:r w:rsidR="00483C83">
        <w:t xml:space="preserve">O&amp;M skills, </w:t>
      </w:r>
      <w:r w:rsidR="007E56C4">
        <w:t xml:space="preserve">social supports, </w:t>
      </w:r>
      <w:r w:rsidR="00D556E2">
        <w:t xml:space="preserve">mobility </w:t>
      </w:r>
      <w:r w:rsidR="00D7274F">
        <w:t xml:space="preserve">needs and </w:t>
      </w:r>
      <w:r w:rsidR="002B736D">
        <w:t xml:space="preserve">the client’s </w:t>
      </w:r>
      <w:r w:rsidR="00D7274F">
        <w:t>goals</w:t>
      </w:r>
      <w:r w:rsidR="00B4740C">
        <w:t>. It</w:t>
      </w:r>
      <w:r w:rsidR="00483C83">
        <w:t xml:space="preserve"> can lead to a</w:t>
      </w:r>
      <w:r w:rsidR="00393446">
        <w:t>n individually</w:t>
      </w:r>
      <w:r w:rsidR="00483C83" w:rsidRPr="00483C83">
        <w:t xml:space="preserve"> </w:t>
      </w:r>
      <w:r w:rsidR="00483C83">
        <w:t xml:space="preserve">tailored O&amp;M program, </w:t>
      </w:r>
      <w:r w:rsidR="00407845">
        <w:t>o</w:t>
      </w:r>
      <w:r w:rsidR="00483C83">
        <w:t>r referral to other services.</w:t>
      </w:r>
      <w:r w:rsidR="008F17BD">
        <w:t xml:space="preserve"> </w:t>
      </w:r>
    </w:p>
    <w:p w14:paraId="06CADE49" w14:textId="77777777" w:rsidR="007E7338" w:rsidRDefault="00B4740C" w:rsidP="00045C26">
      <w:pPr>
        <w:pStyle w:val="Bodytext"/>
      </w:pPr>
      <w:r>
        <w:t xml:space="preserve">Functional vision assessment in O&amp;M </w:t>
      </w:r>
      <w:r w:rsidR="00BE3281">
        <w:t xml:space="preserve">extends beyond </w:t>
      </w:r>
      <w:r>
        <w:t xml:space="preserve">what can be </w:t>
      </w:r>
      <w:r w:rsidR="00BE3281">
        <w:t>explored</w:t>
      </w:r>
      <w:r>
        <w:t xml:space="preserve"> in the clinic, home, classroom or office</w:t>
      </w:r>
      <w:r w:rsidR="00F166FC">
        <w:rPr>
          <w:noProof/>
        </w:rPr>
        <w:t>[22]</w:t>
      </w:r>
      <w:r>
        <w:t xml:space="preserve">. </w:t>
      </w:r>
      <w:r w:rsidR="00291FC9">
        <w:t xml:space="preserve">Many people with useful low vision also experience periods of functional blindness that can compromise safe mobility. </w:t>
      </w:r>
      <w:r>
        <w:t xml:space="preserve">The O&amp;M </w:t>
      </w:r>
      <w:r w:rsidR="00BE3281">
        <w:t>S</w:t>
      </w:r>
      <w:r>
        <w:t xml:space="preserve">pecialist assesses how </w:t>
      </w:r>
      <w:r w:rsidR="00BE3281">
        <w:t xml:space="preserve">low </w:t>
      </w:r>
      <w:r>
        <w:t xml:space="preserve">vision </w:t>
      </w:r>
      <w:r w:rsidR="00BE3281">
        <w:t xml:space="preserve">is useful </w:t>
      </w:r>
      <w:r w:rsidR="00574FA5">
        <w:t xml:space="preserve">when </w:t>
      </w:r>
      <w:r>
        <w:t>travelling through dynamic environments</w:t>
      </w:r>
      <w:r w:rsidR="00291FC9">
        <w:t xml:space="preserve"> and the </w:t>
      </w:r>
      <w:r w:rsidR="00F000D5">
        <w:t xml:space="preserve">travel </w:t>
      </w:r>
      <w:r w:rsidR="00291FC9">
        <w:t xml:space="preserve">skills needed </w:t>
      </w:r>
      <w:r w:rsidR="00F000D5">
        <w:t>during</w:t>
      </w:r>
      <w:r w:rsidR="00291FC9">
        <w:t xml:space="preserve"> periods of functional blindness.</w:t>
      </w:r>
      <w:r w:rsidR="00BE3281">
        <w:t xml:space="preserve"> V</w:t>
      </w:r>
      <w:r>
        <w:t xml:space="preserve">ariable lighting </w:t>
      </w:r>
      <w:r w:rsidR="00BE3281">
        <w:t xml:space="preserve">and </w:t>
      </w:r>
      <w:r>
        <w:t xml:space="preserve">unexpected circumstances </w:t>
      </w:r>
      <w:r w:rsidR="00BE3281">
        <w:t>can require a timely response</w:t>
      </w:r>
      <w:r w:rsidR="00574FA5">
        <w:t>, and l</w:t>
      </w:r>
      <w:r w:rsidR="00BE3281">
        <w:t xml:space="preserve">ow vision aids could </w:t>
      </w:r>
      <w:r w:rsidR="00574FA5">
        <w:t xml:space="preserve">help to maximise </w:t>
      </w:r>
      <w:r w:rsidR="00CE1377">
        <w:t xml:space="preserve">the client’s </w:t>
      </w:r>
      <w:r w:rsidR="00574FA5">
        <w:t>low vision.</w:t>
      </w:r>
      <w:r w:rsidR="00BE3281">
        <w:t xml:space="preserve"> </w:t>
      </w:r>
    </w:p>
    <w:p w14:paraId="2FBE5097" w14:textId="24E9BABA" w:rsidR="00EA1447" w:rsidRDefault="002B736D" w:rsidP="00045C26">
      <w:pPr>
        <w:pStyle w:val="Bodytext"/>
      </w:pPr>
      <w:r>
        <w:t xml:space="preserve">As an educator, the </w:t>
      </w:r>
      <w:r w:rsidR="00F87FA0">
        <w:t>O&amp;M Specialist</w:t>
      </w:r>
      <w:r w:rsidR="00B4740C">
        <w:t xml:space="preserve"> </w:t>
      </w:r>
      <w:r>
        <w:t>identifies learning strategies that work best for the client</w:t>
      </w:r>
      <w:r w:rsidR="00B4740C">
        <w:t xml:space="preserve">. The result is that </w:t>
      </w:r>
      <w:r>
        <w:t xml:space="preserve">O&amp;M programs </w:t>
      </w:r>
      <w:r w:rsidR="00CE1377">
        <w:t xml:space="preserve">that involve </w:t>
      </w:r>
      <w:r w:rsidR="00574FA5">
        <w:t xml:space="preserve">success-based </w:t>
      </w:r>
      <w:r w:rsidR="00407845">
        <w:t xml:space="preserve">sequential </w:t>
      </w:r>
      <w:r w:rsidR="008D4C1A">
        <w:t>sessions</w:t>
      </w:r>
      <w:r w:rsidR="00407845">
        <w:t xml:space="preserve"> </w:t>
      </w:r>
      <w:r w:rsidR="00CE1377">
        <w:t>can vary in content, length and intensity</w:t>
      </w:r>
      <w:r w:rsidR="00291FC9">
        <w:t xml:space="preserve"> according to the client’s needs.</w:t>
      </w:r>
    </w:p>
    <w:p w14:paraId="332681EE" w14:textId="4724D4F5" w:rsidR="00CF17CF" w:rsidRDefault="008C6489" w:rsidP="00045C26">
      <w:pPr>
        <w:pStyle w:val="Bodytext"/>
      </w:pPr>
      <w:r>
        <w:t xml:space="preserve">The </w:t>
      </w:r>
      <w:r w:rsidR="007857E4">
        <w:t xml:space="preserve">O&amp;M </w:t>
      </w:r>
      <w:r>
        <w:t>skillset</w:t>
      </w:r>
      <w:r w:rsidR="00291FC9">
        <w:t xml:space="preserve"> </w:t>
      </w:r>
      <w:r w:rsidR="00204F44">
        <w:t xml:space="preserve">that is </w:t>
      </w:r>
      <w:r w:rsidR="00204F44" w:rsidRPr="00393446">
        <w:t xml:space="preserve">particular to </w:t>
      </w:r>
      <w:r w:rsidR="00204F44">
        <w:t xml:space="preserve">the </w:t>
      </w:r>
      <w:r w:rsidR="00204F44" w:rsidRPr="00393446">
        <w:t>O&amp;M</w:t>
      </w:r>
      <w:r w:rsidR="00204F44">
        <w:t xml:space="preserve"> profession </w:t>
      </w:r>
      <w:r w:rsidR="00D556E2">
        <w:t>includ</w:t>
      </w:r>
      <w:r w:rsidR="00B4740C">
        <w:t>es</w:t>
      </w:r>
      <w:r w:rsidR="00D556E2">
        <w:t xml:space="preserve"> long cane training</w:t>
      </w:r>
      <w:r w:rsidR="00204F44">
        <w:t xml:space="preserve"> and </w:t>
      </w:r>
      <w:r w:rsidR="006F3F9E">
        <w:t xml:space="preserve">non-visual </w:t>
      </w:r>
      <w:r w:rsidR="00204F44">
        <w:t>travel skills</w:t>
      </w:r>
      <w:r w:rsidR="006F3F9E">
        <w:t xml:space="preserve">, </w:t>
      </w:r>
      <w:r w:rsidR="00204F44">
        <w:t xml:space="preserve">as well as </w:t>
      </w:r>
      <w:r w:rsidR="007E7338">
        <w:t xml:space="preserve">visual efficiency skills for people who travel with low vision. </w:t>
      </w:r>
      <w:r w:rsidR="009C7FA1">
        <w:lastRenderedPageBreak/>
        <w:t xml:space="preserve">However, </w:t>
      </w:r>
      <w:r w:rsidR="00B4740C">
        <w:t xml:space="preserve">there are </w:t>
      </w:r>
      <w:r w:rsidR="00CF17CF">
        <w:t xml:space="preserve">many aspects of O&amp;M </w:t>
      </w:r>
      <w:r w:rsidR="00393446" w:rsidRPr="00393446">
        <w:t>work with</w:t>
      </w:r>
      <w:r w:rsidR="005B39BB">
        <w:t xml:space="preserve"> clients who have</w:t>
      </w:r>
      <w:r w:rsidR="00393446" w:rsidRPr="00393446">
        <w:t xml:space="preserve"> low vision and other disabilities, </w:t>
      </w:r>
      <w:r w:rsidR="00B4740C">
        <w:t xml:space="preserve">that </w:t>
      </w:r>
      <w:r w:rsidR="00393446" w:rsidRPr="00393446">
        <w:t xml:space="preserve">overlap with other professions. </w:t>
      </w:r>
      <w:r w:rsidR="00FD7507">
        <w:t>Thus, g</w:t>
      </w:r>
      <w:r w:rsidR="008F17BD">
        <w:t xml:space="preserve">eneral scope </w:t>
      </w:r>
      <w:r w:rsidR="00EA1447">
        <w:t xml:space="preserve">of practice </w:t>
      </w:r>
      <w:r w:rsidR="008F17BD">
        <w:t>can involve, but is not limited to</w:t>
      </w:r>
      <w:r w:rsidR="008D47A3">
        <w:t>:</w:t>
      </w:r>
    </w:p>
    <w:p w14:paraId="67534F77" w14:textId="77777777" w:rsidR="00760A51" w:rsidRPr="0067169F" w:rsidRDefault="007857E4" w:rsidP="0067169F">
      <w:pPr>
        <w:pStyle w:val="Heading3"/>
      </w:pPr>
      <w:bookmarkStart w:id="38" w:name="_Toc42100164"/>
      <w:r w:rsidRPr="0067169F">
        <w:t>P</w:t>
      </w:r>
      <w:r w:rsidR="00D90FE5" w:rsidRPr="0067169F">
        <w:t xml:space="preserve">ersonal and life </w:t>
      </w:r>
      <w:r w:rsidR="00760A51" w:rsidRPr="0067169F">
        <w:t>skills:</w:t>
      </w:r>
      <w:bookmarkEnd w:id="38"/>
    </w:p>
    <w:p w14:paraId="021C776E" w14:textId="77777777" w:rsidR="005554FD" w:rsidRPr="00F000D5" w:rsidRDefault="005554FD" w:rsidP="0067169F">
      <w:pPr>
        <w:pStyle w:val="ListParagraph"/>
        <w:numPr>
          <w:ilvl w:val="0"/>
          <w:numId w:val="2"/>
        </w:numPr>
      </w:pPr>
      <w:r w:rsidRPr="00F000D5">
        <w:t>Functional vision assessment and use of vision</w:t>
      </w:r>
      <w:r w:rsidR="00F000D5">
        <w:t>-related</w:t>
      </w:r>
      <w:r w:rsidRPr="00F000D5">
        <w:t xml:space="preserve"> aids</w:t>
      </w:r>
      <w:r w:rsidR="00611BF5">
        <w:t>.</w:t>
      </w:r>
    </w:p>
    <w:p w14:paraId="191E595B" w14:textId="77777777" w:rsidR="008C6489" w:rsidRDefault="007F2262" w:rsidP="0067169F">
      <w:pPr>
        <w:pStyle w:val="ListParagraph"/>
        <w:numPr>
          <w:ilvl w:val="0"/>
          <w:numId w:val="2"/>
        </w:numPr>
      </w:pPr>
      <w:r>
        <w:t>Visual efficiency training and sensory integration during travel</w:t>
      </w:r>
      <w:r w:rsidR="00611BF5">
        <w:t>.</w:t>
      </w:r>
      <w:r w:rsidR="00D90FE5">
        <w:t xml:space="preserve"> </w:t>
      </w:r>
    </w:p>
    <w:p w14:paraId="3C56B9D9" w14:textId="77777777" w:rsidR="008C6489" w:rsidRDefault="00B4740C" w:rsidP="0067169F">
      <w:pPr>
        <w:pStyle w:val="ListParagraph"/>
        <w:numPr>
          <w:ilvl w:val="0"/>
          <w:numId w:val="2"/>
        </w:numPr>
      </w:pPr>
      <w:r>
        <w:t>Body, spatial and e</w:t>
      </w:r>
      <w:r w:rsidR="00024A90">
        <w:t>nvironmental concepts</w:t>
      </w:r>
      <w:r w:rsidR="00611BF5">
        <w:t>.</w:t>
      </w:r>
    </w:p>
    <w:p w14:paraId="662496BE" w14:textId="77777777" w:rsidR="00FC14EE" w:rsidRDefault="00D556E2" w:rsidP="0067169F">
      <w:pPr>
        <w:pStyle w:val="ListParagraph"/>
        <w:numPr>
          <w:ilvl w:val="0"/>
          <w:numId w:val="2"/>
        </w:numPr>
      </w:pPr>
      <w:r>
        <w:t xml:space="preserve">Independent travel skills with </w:t>
      </w:r>
      <w:r w:rsidR="00FC14EE">
        <w:t>low vision or blindness</w:t>
      </w:r>
      <w:r w:rsidR="007F2262">
        <w:t xml:space="preserve"> (</w:t>
      </w:r>
      <w:r w:rsidR="00F000D5">
        <w:t xml:space="preserve">e.g., </w:t>
      </w:r>
      <w:r w:rsidR="007F2262">
        <w:t>orientation, safety)</w:t>
      </w:r>
      <w:r w:rsidR="00611BF5">
        <w:t>.</w:t>
      </w:r>
    </w:p>
    <w:p w14:paraId="24B7D9DB" w14:textId="77777777" w:rsidR="00B30A05" w:rsidRDefault="007F2262" w:rsidP="0067169F">
      <w:pPr>
        <w:pStyle w:val="ListParagraph"/>
        <w:numPr>
          <w:ilvl w:val="0"/>
          <w:numId w:val="2"/>
        </w:numPr>
      </w:pPr>
      <w:r>
        <w:t>S</w:t>
      </w:r>
      <w:r w:rsidR="00B30A05">
        <w:t xml:space="preserve">ocial </w:t>
      </w:r>
      <w:r>
        <w:t xml:space="preserve">travel </w:t>
      </w:r>
      <w:r w:rsidR="00B30A05">
        <w:t>skills</w:t>
      </w:r>
      <w:r>
        <w:t xml:space="preserve"> (</w:t>
      </w:r>
      <w:r w:rsidR="00F000D5">
        <w:t xml:space="preserve">e.g., </w:t>
      </w:r>
      <w:r w:rsidR="008608F2">
        <w:t>human and dog guides</w:t>
      </w:r>
      <w:r w:rsidR="00B42972">
        <w:t>,</w:t>
      </w:r>
      <w:r>
        <w:t xml:space="preserve"> seeking/refusing assistance)</w:t>
      </w:r>
      <w:r w:rsidR="00611BF5">
        <w:t>.</w:t>
      </w:r>
    </w:p>
    <w:p w14:paraId="3C2D7070" w14:textId="77777777" w:rsidR="00D90FE5" w:rsidRDefault="00D90FE5" w:rsidP="0067169F">
      <w:pPr>
        <w:pStyle w:val="ListParagraph"/>
        <w:numPr>
          <w:ilvl w:val="0"/>
          <w:numId w:val="2"/>
        </w:numPr>
      </w:pPr>
      <w:r>
        <w:t>Communication skills, alternative and augmentative communication (</w:t>
      </w:r>
      <w:r w:rsidR="00F000D5">
        <w:t xml:space="preserve">e.g., </w:t>
      </w:r>
      <w:r>
        <w:t xml:space="preserve">braille, </w:t>
      </w:r>
      <w:r w:rsidRPr="00FD69CB">
        <w:t xml:space="preserve">deafblind </w:t>
      </w:r>
      <w:r w:rsidR="00C35BD0" w:rsidRPr="00F000D5">
        <w:t>communication</w:t>
      </w:r>
      <w:r w:rsidR="00CF17CF" w:rsidRPr="00F000D5">
        <w:t>,</w:t>
      </w:r>
      <w:r w:rsidR="00CF17CF">
        <w:t xml:space="preserve"> </w:t>
      </w:r>
      <w:r>
        <w:t>Auslan)</w:t>
      </w:r>
      <w:r w:rsidR="005E1A09">
        <w:t xml:space="preserve"> and self-advocacy</w:t>
      </w:r>
      <w:r w:rsidR="00611BF5">
        <w:t>.</w:t>
      </w:r>
    </w:p>
    <w:p w14:paraId="363F5646" w14:textId="77777777" w:rsidR="00D90FE5" w:rsidRDefault="00D90FE5" w:rsidP="0067169F">
      <w:pPr>
        <w:pStyle w:val="ListParagraph"/>
        <w:numPr>
          <w:ilvl w:val="0"/>
          <w:numId w:val="2"/>
        </w:numPr>
      </w:pPr>
      <w:r>
        <w:t>Vision-related strategies, resources and adaptations for activities of daily living</w:t>
      </w:r>
      <w:r w:rsidR="00611BF5">
        <w:t>.</w:t>
      </w:r>
    </w:p>
    <w:p w14:paraId="36DD9040" w14:textId="77777777" w:rsidR="00D90FE5" w:rsidRPr="007857E4" w:rsidRDefault="00760A51" w:rsidP="0067169F">
      <w:pPr>
        <w:pStyle w:val="Heading3"/>
      </w:pPr>
      <w:bookmarkStart w:id="39" w:name="_Toc42100165"/>
      <w:r w:rsidRPr="007857E4">
        <w:t>Device use:</w:t>
      </w:r>
      <w:bookmarkEnd w:id="39"/>
    </w:p>
    <w:p w14:paraId="6CF3B267" w14:textId="77777777" w:rsidR="00FC14EE" w:rsidRDefault="00FC14EE" w:rsidP="0067169F">
      <w:pPr>
        <w:pStyle w:val="ListParagraph"/>
        <w:numPr>
          <w:ilvl w:val="0"/>
          <w:numId w:val="2"/>
        </w:numPr>
      </w:pPr>
      <w:r>
        <w:t>Cane training</w:t>
      </w:r>
      <w:r w:rsidR="00D90FE5">
        <w:t xml:space="preserve">, including </w:t>
      </w:r>
      <w:r>
        <w:t>long cane, ID cane, support cane</w:t>
      </w:r>
      <w:r w:rsidR="00145362">
        <w:t>, adaptive mobility aids for children</w:t>
      </w:r>
      <w:r w:rsidR="00611BF5">
        <w:t>.</w:t>
      </w:r>
    </w:p>
    <w:p w14:paraId="5C0FFA60" w14:textId="77777777" w:rsidR="00FC14EE" w:rsidRPr="002B413E" w:rsidRDefault="00FC14EE" w:rsidP="0067169F">
      <w:pPr>
        <w:pStyle w:val="ListParagraph"/>
        <w:numPr>
          <w:ilvl w:val="0"/>
          <w:numId w:val="2"/>
        </w:numPr>
      </w:pPr>
      <w:r>
        <w:t xml:space="preserve">Assistive technology </w:t>
      </w:r>
      <w:r w:rsidRPr="002B413E">
        <w:t>for travel and social participation</w:t>
      </w:r>
      <w:r w:rsidR="0043590F" w:rsidRPr="002B413E">
        <w:t xml:space="preserve"> </w:t>
      </w:r>
      <w:r w:rsidR="007E7338" w:rsidRPr="002B413E">
        <w:t>–</w:t>
      </w:r>
      <w:r w:rsidR="0043590F" w:rsidRPr="002B413E">
        <w:t xml:space="preserve"> mainstream and specialist devices</w:t>
      </w:r>
      <w:r w:rsidR="00611BF5">
        <w:t>.</w:t>
      </w:r>
    </w:p>
    <w:p w14:paraId="6C051083" w14:textId="77777777" w:rsidR="00FC14EE" w:rsidRPr="005B6CF7" w:rsidRDefault="00FC14EE" w:rsidP="0067169F">
      <w:pPr>
        <w:pStyle w:val="ListParagraph"/>
        <w:numPr>
          <w:ilvl w:val="0"/>
          <w:numId w:val="2"/>
        </w:numPr>
      </w:pPr>
      <w:r w:rsidRPr="002B413E">
        <w:t xml:space="preserve">Wheeled mobility, including </w:t>
      </w:r>
      <w:r w:rsidR="001B7E59" w:rsidRPr="002B413E">
        <w:t>bi</w:t>
      </w:r>
      <w:r w:rsidR="007E7338" w:rsidRPr="002B413E">
        <w:t>cycles</w:t>
      </w:r>
      <w:r w:rsidR="001B7E59" w:rsidRPr="002B413E">
        <w:t xml:space="preserve"> and aids recommended by other professionals including walking frames, wheelchairs and motorised mobility </w:t>
      </w:r>
      <w:r w:rsidRPr="005B6CF7">
        <w:t>scooters</w:t>
      </w:r>
      <w:r w:rsidR="00611BF5">
        <w:t>.</w:t>
      </w:r>
    </w:p>
    <w:p w14:paraId="1957510D" w14:textId="77777777" w:rsidR="007857E4" w:rsidRPr="00B4611A" w:rsidRDefault="007857E4" w:rsidP="0067169F">
      <w:pPr>
        <w:pStyle w:val="ListParagraph"/>
        <w:numPr>
          <w:ilvl w:val="0"/>
          <w:numId w:val="2"/>
        </w:numPr>
      </w:pPr>
      <w:r w:rsidRPr="00B4611A">
        <w:t>Orientating a guide dog handler</w:t>
      </w:r>
      <w:r w:rsidR="00611BF5">
        <w:t>.</w:t>
      </w:r>
    </w:p>
    <w:p w14:paraId="45CD2315" w14:textId="77777777" w:rsidR="002E7BBC" w:rsidRPr="00946B54" w:rsidRDefault="002E7BBC" w:rsidP="0067169F">
      <w:pPr>
        <w:pStyle w:val="Heading3"/>
      </w:pPr>
      <w:bookmarkStart w:id="40" w:name="_Toc42100166"/>
      <w:bookmarkStart w:id="41" w:name="_Hlk42097872"/>
      <w:r w:rsidRPr="00946B54">
        <w:t>Environment</w:t>
      </w:r>
      <w:r w:rsidR="00392BB8" w:rsidRPr="00946B54">
        <w:t>al concerns</w:t>
      </w:r>
      <w:r w:rsidRPr="00946B54">
        <w:t>:</w:t>
      </w:r>
      <w:bookmarkEnd w:id="40"/>
    </w:p>
    <w:p w14:paraId="69C7C1C8" w14:textId="77777777" w:rsidR="008608F2" w:rsidRPr="00946B54" w:rsidRDefault="008608F2" w:rsidP="0067169F">
      <w:pPr>
        <w:pStyle w:val="ListParagraph"/>
        <w:numPr>
          <w:ilvl w:val="0"/>
          <w:numId w:val="2"/>
        </w:numPr>
      </w:pPr>
      <w:r w:rsidRPr="00946B54">
        <w:t>Traffic skills and public transport access in diverse environments</w:t>
      </w:r>
      <w:r w:rsidR="00611BF5" w:rsidRPr="00946B54">
        <w:t>.</w:t>
      </w:r>
    </w:p>
    <w:p w14:paraId="2F61F7BD" w14:textId="77777777" w:rsidR="00392BB8" w:rsidRPr="00946B54" w:rsidRDefault="00392BB8" w:rsidP="0067169F">
      <w:pPr>
        <w:pStyle w:val="ListParagraph"/>
        <w:numPr>
          <w:ilvl w:val="0"/>
          <w:numId w:val="2"/>
        </w:numPr>
      </w:pPr>
      <w:r w:rsidRPr="00946B54">
        <w:t>Rural and remote practice</w:t>
      </w:r>
      <w:r w:rsidR="00611BF5" w:rsidRPr="00946B54">
        <w:t>.</w:t>
      </w:r>
    </w:p>
    <w:p w14:paraId="5C69DE95" w14:textId="166D9399" w:rsidR="00392BB8" w:rsidRPr="00946B54" w:rsidRDefault="00392BB8" w:rsidP="0067169F">
      <w:pPr>
        <w:pStyle w:val="ListParagraph"/>
      </w:pPr>
      <w:r w:rsidRPr="00946B54">
        <w:t>Environmental assessments</w:t>
      </w:r>
      <w:r w:rsidR="00946B54" w:rsidRPr="00946B54">
        <w:t xml:space="preserve"> on behalf of individual clients and the wider blind/low vision population</w:t>
      </w:r>
      <w:r w:rsidRPr="00946B54">
        <w:t>; recommendations and education for access and universal design (</w:t>
      </w:r>
      <w:r w:rsidR="00454009" w:rsidRPr="00946B54">
        <w:t xml:space="preserve">e.g., </w:t>
      </w:r>
      <w:r w:rsidRPr="00946B54">
        <w:t>schools, workplaces, public transport, public buildings</w:t>
      </w:r>
      <w:r w:rsidR="00145362" w:rsidRPr="00946B54">
        <w:t>, aged care facilities</w:t>
      </w:r>
      <w:r w:rsidRPr="00946B54">
        <w:t>)</w:t>
      </w:r>
      <w:r w:rsidR="00611BF5" w:rsidRPr="00946B54">
        <w:t>.</w:t>
      </w:r>
    </w:p>
    <w:p w14:paraId="648CDA8F" w14:textId="77777777" w:rsidR="002E7BBC" w:rsidRDefault="002E7BBC" w:rsidP="00045C26">
      <w:pPr>
        <w:pStyle w:val="Heading3"/>
      </w:pPr>
      <w:bookmarkStart w:id="42" w:name="_Toc42100167"/>
      <w:bookmarkEnd w:id="41"/>
      <w:r w:rsidRPr="007857E4">
        <w:t>Diverse clients</w:t>
      </w:r>
      <w:r w:rsidR="007857E4">
        <w:t>:</w:t>
      </w:r>
      <w:bookmarkEnd w:id="42"/>
    </w:p>
    <w:p w14:paraId="0AA99763" w14:textId="73054BF3" w:rsidR="00FF00FD" w:rsidRDefault="00562A13" w:rsidP="0067169F">
      <w:pPr>
        <w:pStyle w:val="ListParagraph"/>
        <w:numPr>
          <w:ilvl w:val="0"/>
          <w:numId w:val="2"/>
        </w:numPr>
      </w:pPr>
      <w:r>
        <w:t>Pediatric</w:t>
      </w:r>
      <w:r w:rsidR="00D90FE5">
        <w:t>/D</w:t>
      </w:r>
      <w:r w:rsidR="008F17BD">
        <w:t>evel</w:t>
      </w:r>
      <w:r w:rsidR="00D90FE5">
        <w:t>opmental</w:t>
      </w:r>
      <w:r w:rsidR="008F17BD">
        <w:t xml:space="preserve"> O&amp;M</w:t>
      </w:r>
      <w:r w:rsidR="007F2262">
        <w:t xml:space="preserve">, </w:t>
      </w:r>
      <w:r w:rsidR="008F17BD">
        <w:t xml:space="preserve">including </w:t>
      </w:r>
      <w:r w:rsidR="00024A90">
        <w:t xml:space="preserve">movement, sensory, and </w:t>
      </w:r>
      <w:r w:rsidR="007E56C4">
        <w:t>concept development</w:t>
      </w:r>
      <w:r w:rsidR="00B30A05">
        <w:t xml:space="preserve"> and transitions between</w:t>
      </w:r>
      <w:r w:rsidR="007E56C4">
        <w:t xml:space="preserve"> </w:t>
      </w:r>
      <w:r w:rsidR="008F17BD">
        <w:t>early childhood, school</w:t>
      </w:r>
      <w:r w:rsidR="007E7338">
        <w:t>s</w:t>
      </w:r>
      <w:r w:rsidR="00B30A05">
        <w:t xml:space="preserve">, </w:t>
      </w:r>
      <w:r w:rsidR="0082161A">
        <w:t>tertiary education</w:t>
      </w:r>
      <w:r>
        <w:t>,</w:t>
      </w:r>
      <w:r w:rsidR="007857E4">
        <w:t xml:space="preserve"> and adulthood</w:t>
      </w:r>
      <w:r w:rsidR="005F7DA8">
        <w:t>.</w:t>
      </w:r>
    </w:p>
    <w:p w14:paraId="272178F9" w14:textId="2E7BA222" w:rsidR="008F17BD" w:rsidRDefault="00B2330F" w:rsidP="0067169F">
      <w:pPr>
        <w:pStyle w:val="ListParagraph"/>
        <w:numPr>
          <w:ilvl w:val="0"/>
          <w:numId w:val="2"/>
        </w:numPr>
      </w:pPr>
      <w:r>
        <w:t xml:space="preserve">Adult </w:t>
      </w:r>
      <w:r w:rsidR="007F2262">
        <w:t>travel</w:t>
      </w:r>
      <w:r w:rsidR="00936C75">
        <w:t xml:space="preserve"> supporting educational, economic</w:t>
      </w:r>
      <w:r w:rsidR="00562A13">
        <w:t xml:space="preserve">, </w:t>
      </w:r>
      <w:r w:rsidR="00936C75">
        <w:t>and recreational participation</w:t>
      </w:r>
      <w:r w:rsidR="005F7DA8">
        <w:t>.</w:t>
      </w:r>
    </w:p>
    <w:p w14:paraId="4A2AB149" w14:textId="2D3FB146" w:rsidR="008F17BD" w:rsidRDefault="008F17BD" w:rsidP="0067169F">
      <w:pPr>
        <w:pStyle w:val="ListParagraph"/>
        <w:numPr>
          <w:ilvl w:val="0"/>
          <w:numId w:val="2"/>
        </w:numPr>
      </w:pPr>
      <w:r>
        <w:t>Retirees</w:t>
      </w:r>
      <w:r w:rsidR="008608F2">
        <w:t xml:space="preserve">, </w:t>
      </w:r>
      <w:r>
        <w:t>elders</w:t>
      </w:r>
      <w:r w:rsidR="00562A13">
        <w:t>,</w:t>
      </w:r>
      <w:r w:rsidR="008608F2">
        <w:t xml:space="preserve"> and age-related O&amp;M</w:t>
      </w:r>
      <w:r>
        <w:t xml:space="preserve"> </w:t>
      </w:r>
      <w:r w:rsidR="00FC14EE">
        <w:t>(</w:t>
      </w:r>
      <w:r w:rsidR="0075627D">
        <w:t xml:space="preserve">e.g., </w:t>
      </w:r>
      <w:r>
        <w:t>dementia, falls and balance</w:t>
      </w:r>
      <w:r w:rsidR="00FC14EE">
        <w:t>)</w:t>
      </w:r>
      <w:r w:rsidR="005F7DA8">
        <w:t>.</w:t>
      </w:r>
    </w:p>
    <w:p w14:paraId="62E02CA3" w14:textId="77777777" w:rsidR="00B2330F" w:rsidRDefault="00B2330F" w:rsidP="0067169F">
      <w:pPr>
        <w:pStyle w:val="ListParagraph"/>
        <w:numPr>
          <w:ilvl w:val="0"/>
          <w:numId w:val="2"/>
        </w:numPr>
      </w:pPr>
      <w:r>
        <w:t>First People – Aboriginal</w:t>
      </w:r>
      <w:r w:rsidR="007857E4">
        <w:t xml:space="preserve"> and</w:t>
      </w:r>
      <w:r>
        <w:t xml:space="preserve"> Torres Strait Islander</w:t>
      </w:r>
      <w:r w:rsidR="007857E4">
        <w:t>s</w:t>
      </w:r>
      <w:r>
        <w:t xml:space="preserve">, </w:t>
      </w:r>
      <w:r w:rsidR="007857E4" w:rsidRPr="00F045ED">
        <w:rPr>
          <w:rFonts w:cstheme="minorHAnsi"/>
          <w:shd w:val="clear" w:color="auto" w:fill="FFFFFF"/>
        </w:rPr>
        <w:t>Māori</w:t>
      </w:r>
      <w:r w:rsidR="0075627D">
        <w:t xml:space="preserve"> and Pacific Island</w:t>
      </w:r>
      <w:r w:rsidR="007857E4">
        <w:t>er</w:t>
      </w:r>
      <w:r w:rsidR="0075627D">
        <w:t>s</w:t>
      </w:r>
      <w:r w:rsidR="005F7DA8">
        <w:t>.</w:t>
      </w:r>
    </w:p>
    <w:p w14:paraId="4D1D515D" w14:textId="77777777" w:rsidR="004748D3" w:rsidRDefault="00B2330F" w:rsidP="0067169F">
      <w:pPr>
        <w:pStyle w:val="ListParagraph"/>
        <w:numPr>
          <w:ilvl w:val="0"/>
          <w:numId w:val="2"/>
        </w:numPr>
      </w:pPr>
      <w:r>
        <w:t>Culturally and linguistically diverse communities and their interpreters</w:t>
      </w:r>
      <w:r w:rsidR="005F7DA8">
        <w:t>.</w:t>
      </w:r>
    </w:p>
    <w:p w14:paraId="78C7490E" w14:textId="77777777" w:rsidR="00B2330F" w:rsidRPr="007857E4" w:rsidRDefault="004748D3" w:rsidP="0067169F">
      <w:pPr>
        <w:pStyle w:val="ListParagraph"/>
        <w:numPr>
          <w:ilvl w:val="0"/>
          <w:numId w:val="2"/>
        </w:numPr>
      </w:pPr>
      <w:r w:rsidRPr="007857E4">
        <w:t>LGBTQI</w:t>
      </w:r>
      <w:r w:rsidR="00C35BD0" w:rsidRPr="007857E4">
        <w:t>A+</w:t>
      </w:r>
      <w:r w:rsidRPr="007857E4">
        <w:t xml:space="preserve"> clients</w:t>
      </w:r>
      <w:r w:rsidR="005F7DA8">
        <w:t>.</w:t>
      </w:r>
    </w:p>
    <w:p w14:paraId="104A89FC" w14:textId="77777777" w:rsidR="00024A90" w:rsidRDefault="00024A90" w:rsidP="0067169F">
      <w:pPr>
        <w:pStyle w:val="ListParagraph"/>
        <w:numPr>
          <w:ilvl w:val="0"/>
          <w:numId w:val="2"/>
        </w:numPr>
      </w:pPr>
      <w:r>
        <w:t>Deafblind clients</w:t>
      </w:r>
      <w:r w:rsidR="005F7DA8">
        <w:t>.</w:t>
      </w:r>
    </w:p>
    <w:p w14:paraId="169C519B" w14:textId="77777777" w:rsidR="008F17BD" w:rsidRDefault="008F17BD" w:rsidP="0067169F">
      <w:pPr>
        <w:pStyle w:val="ListParagraph"/>
        <w:numPr>
          <w:ilvl w:val="0"/>
          <w:numId w:val="2"/>
        </w:numPr>
      </w:pPr>
      <w:r>
        <w:lastRenderedPageBreak/>
        <w:t xml:space="preserve">Multiple </w:t>
      </w:r>
      <w:r w:rsidR="00145362">
        <w:t>disabilities</w:t>
      </w:r>
      <w:r w:rsidR="007857E4">
        <w:t xml:space="preserve"> and</w:t>
      </w:r>
      <w:r w:rsidR="00145362">
        <w:t xml:space="preserve"> </w:t>
      </w:r>
      <w:r>
        <w:t>working with multidisciplinary teams</w:t>
      </w:r>
      <w:r w:rsidR="005F7DA8">
        <w:t>.</w:t>
      </w:r>
    </w:p>
    <w:p w14:paraId="05F35E9C" w14:textId="77777777" w:rsidR="008F17BD" w:rsidRDefault="008F17BD" w:rsidP="0067169F">
      <w:pPr>
        <w:pStyle w:val="ListParagraph"/>
        <w:numPr>
          <w:ilvl w:val="0"/>
          <w:numId w:val="2"/>
        </w:numPr>
      </w:pPr>
      <w:r>
        <w:t xml:space="preserve">Neurological </w:t>
      </w:r>
      <w:r w:rsidR="00FC14EE">
        <w:t>conditions (</w:t>
      </w:r>
      <w:r w:rsidR="00454009">
        <w:t>e.g</w:t>
      </w:r>
      <w:r w:rsidR="00145362">
        <w:t xml:space="preserve">., </w:t>
      </w:r>
      <w:r>
        <w:t>cortical</w:t>
      </w:r>
      <w:r w:rsidR="009F358D">
        <w:t>/cerebral</w:t>
      </w:r>
      <w:r>
        <w:t xml:space="preserve"> vis</w:t>
      </w:r>
      <w:r w:rsidR="00355665">
        <w:t xml:space="preserve">ion </w:t>
      </w:r>
      <w:r>
        <w:t>impairment</w:t>
      </w:r>
      <w:r w:rsidR="009F358D">
        <w:t>;</w:t>
      </w:r>
      <w:r>
        <w:t xml:space="preserve"> </w:t>
      </w:r>
      <w:r w:rsidR="009F358D">
        <w:t>congenital conditions</w:t>
      </w:r>
      <w:r w:rsidR="00355665">
        <w:t xml:space="preserve"> </w:t>
      </w:r>
      <w:r w:rsidR="009F358D">
        <w:t xml:space="preserve">including cerebral palsy; and </w:t>
      </w:r>
      <w:r>
        <w:t>acquired brain injury</w:t>
      </w:r>
      <w:r w:rsidR="009F358D">
        <w:t xml:space="preserve"> including stroke, trauma</w:t>
      </w:r>
      <w:r w:rsidR="00B30A05">
        <w:t>)</w:t>
      </w:r>
      <w:r w:rsidR="005F7DA8">
        <w:t>.</w:t>
      </w:r>
    </w:p>
    <w:p w14:paraId="64813C18" w14:textId="3B15204D" w:rsidR="008F17BD" w:rsidRDefault="009F358D" w:rsidP="0067169F">
      <w:pPr>
        <w:pStyle w:val="ListParagraph"/>
      </w:pPr>
      <w:r>
        <w:t xml:space="preserve">Frail </w:t>
      </w:r>
      <w:r w:rsidR="008F17BD">
        <w:t>clients with chronic pain, palliative conditions</w:t>
      </w:r>
      <w:r w:rsidR="00562A13">
        <w:t>,</w:t>
      </w:r>
      <w:r w:rsidR="008F17BD">
        <w:t xml:space="preserve"> or mental illness</w:t>
      </w:r>
      <w:r w:rsidR="005F7DA8">
        <w:t>.</w:t>
      </w:r>
    </w:p>
    <w:p w14:paraId="4CEB521D" w14:textId="74F5E230" w:rsidR="008D47A3" w:rsidRDefault="00EC61DB" w:rsidP="00045C26">
      <w:pPr>
        <w:pStyle w:val="Bodytext"/>
      </w:pPr>
      <w:r w:rsidRPr="00FF00FD">
        <w:t xml:space="preserve">In addition to working directly with clients, the </w:t>
      </w:r>
      <w:r w:rsidR="00483C83" w:rsidRPr="00FF00FD">
        <w:t xml:space="preserve">general </w:t>
      </w:r>
      <w:r w:rsidR="00B2330F" w:rsidRPr="00FF00FD">
        <w:t>O&amp;M s</w:t>
      </w:r>
      <w:r w:rsidR="00483C83" w:rsidRPr="00FF00FD">
        <w:t>cope of practice</w:t>
      </w:r>
      <w:r w:rsidRPr="00FF00FD">
        <w:t xml:space="preserve"> involves </w:t>
      </w:r>
      <w:r w:rsidR="005B39BB" w:rsidRPr="005B39BB">
        <w:t>building professional and community networks</w:t>
      </w:r>
      <w:r w:rsidR="007F2262">
        <w:t xml:space="preserve">, </w:t>
      </w:r>
      <w:r w:rsidR="00936C75" w:rsidRPr="005B39BB">
        <w:t>sourcing and developing O&amp;M resources and technologies</w:t>
      </w:r>
      <w:r w:rsidR="00936C75">
        <w:t xml:space="preserve">, </w:t>
      </w:r>
      <w:r w:rsidR="005B39BB" w:rsidRPr="005B39BB">
        <w:t>advocacy</w:t>
      </w:r>
      <w:r w:rsidR="007F2262">
        <w:t xml:space="preserve"> on behalf of clients</w:t>
      </w:r>
      <w:r w:rsidR="00B30A05">
        <w:t xml:space="preserve">, and </w:t>
      </w:r>
      <w:r w:rsidR="005B39BB" w:rsidRPr="005B39BB">
        <w:t>community education about</w:t>
      </w:r>
      <w:r w:rsidR="008608F2">
        <w:t xml:space="preserve"> O&amp;M,</w:t>
      </w:r>
      <w:r w:rsidR="005B39BB" w:rsidRPr="005B39BB">
        <w:t xml:space="preserve"> low vision</w:t>
      </w:r>
      <w:r w:rsidR="008608F2">
        <w:t xml:space="preserve"> and </w:t>
      </w:r>
      <w:r w:rsidR="005B39BB" w:rsidRPr="005B39BB">
        <w:t>blindness</w:t>
      </w:r>
      <w:r w:rsidR="008608F2">
        <w:t>.</w:t>
      </w:r>
    </w:p>
    <w:p w14:paraId="7ABA03DD" w14:textId="77777777" w:rsidR="00733028" w:rsidRDefault="00733028" w:rsidP="00045C26">
      <w:pPr>
        <w:pStyle w:val="Bodytext"/>
      </w:pPr>
      <w:r w:rsidRPr="008F17BD">
        <w:t>With experience, regular supervision</w:t>
      </w:r>
      <w:r>
        <w:t xml:space="preserve">, </w:t>
      </w:r>
      <w:r w:rsidRPr="008F17BD">
        <w:t>professional development</w:t>
      </w:r>
      <w:r>
        <w:t xml:space="preserve"> and personal reflexivity,</w:t>
      </w:r>
      <w:r w:rsidRPr="008F17BD">
        <w:t xml:space="preserve"> a general </w:t>
      </w:r>
      <w:r>
        <w:t>O&amp;M Specialist</w:t>
      </w:r>
      <w:r w:rsidRPr="008F17BD">
        <w:t xml:space="preserve"> will typically develop areas of special interest </w:t>
      </w:r>
      <w:r>
        <w:t>and expertise as a natural extension of the general scope of practice.</w:t>
      </w:r>
      <w:r w:rsidRPr="00733028">
        <w:t xml:space="preserve"> </w:t>
      </w:r>
    </w:p>
    <w:p w14:paraId="4D33339D" w14:textId="77777777" w:rsidR="00EC61DB" w:rsidRDefault="00EC61DB" w:rsidP="0067169F">
      <w:pPr>
        <w:pStyle w:val="Heading2"/>
      </w:pPr>
      <w:bookmarkStart w:id="43" w:name="_Toc42100168"/>
      <w:bookmarkStart w:id="44" w:name="_Toc23146095"/>
      <w:r w:rsidRPr="003A6F64">
        <w:t xml:space="preserve">Advanced </w:t>
      </w:r>
      <w:r w:rsidR="00F87FA0">
        <w:t>O&amp;M Specialist</w:t>
      </w:r>
      <w:bookmarkEnd w:id="43"/>
      <w:r>
        <w:t xml:space="preserve"> </w:t>
      </w:r>
      <w:bookmarkEnd w:id="44"/>
    </w:p>
    <w:p w14:paraId="404FF177" w14:textId="6B0A8AA6" w:rsidR="00EC61DB" w:rsidRDefault="00733028" w:rsidP="00045C26">
      <w:pPr>
        <w:pStyle w:val="Bodytext"/>
      </w:pPr>
      <w:r>
        <w:t xml:space="preserve">An advanced scope of practice involves </w:t>
      </w:r>
      <w:r w:rsidR="000C436E">
        <w:t xml:space="preserve">subject matter expertise – </w:t>
      </w:r>
      <w:r>
        <w:t>a higher level of knowledge and skills, leadership, decision making and contribution to research and education than an entry-level scope</w:t>
      </w:r>
      <w:r w:rsidR="000C436E">
        <w:t>.</w:t>
      </w:r>
      <w:r>
        <w:t xml:space="preserve"> </w:t>
      </w:r>
      <w:r w:rsidR="006F38C0">
        <w:t>A</w:t>
      </w:r>
      <w:r w:rsidR="000C436E">
        <w:t>n</w:t>
      </w:r>
      <w:r>
        <w:t xml:space="preserve"> </w:t>
      </w:r>
      <w:r w:rsidR="00564460">
        <w:t xml:space="preserve">advanced </w:t>
      </w:r>
      <w:r w:rsidR="005445ED">
        <w:t xml:space="preserve">O&amp;M </w:t>
      </w:r>
      <w:r w:rsidR="00564460">
        <w:t xml:space="preserve">scope might </w:t>
      </w:r>
      <w:r w:rsidR="000C436E">
        <w:t xml:space="preserve">involve specific activities that are not typically performed by new graduates, </w:t>
      </w:r>
      <w:r w:rsidR="00EC61DB">
        <w:t>includ</w:t>
      </w:r>
      <w:r w:rsidR="000C436E">
        <w:t>ing</w:t>
      </w:r>
      <w:r w:rsidR="00FD7507">
        <w:t>:</w:t>
      </w:r>
    </w:p>
    <w:p w14:paraId="55EF3D7E" w14:textId="77777777" w:rsidR="00AF4E44" w:rsidRPr="00564460" w:rsidRDefault="00AF4E44" w:rsidP="0067169F">
      <w:pPr>
        <w:pStyle w:val="ListParagraph"/>
        <w:numPr>
          <w:ilvl w:val="0"/>
          <w:numId w:val="2"/>
        </w:numPr>
      </w:pPr>
      <w:r w:rsidRPr="00564460">
        <w:t>Recruiting, teaching and assessing student</w:t>
      </w:r>
      <w:r w:rsidR="00FD7507">
        <w:t xml:space="preserve">s </w:t>
      </w:r>
      <w:r w:rsidR="0077043D">
        <w:t xml:space="preserve">who are </w:t>
      </w:r>
      <w:r w:rsidR="00FD7507">
        <w:t>undertaking</w:t>
      </w:r>
      <w:r w:rsidRPr="00564460">
        <w:t xml:space="preserve"> O&amp;M </w:t>
      </w:r>
      <w:r w:rsidR="00FD7507">
        <w:t>qualifications</w:t>
      </w:r>
      <w:r w:rsidR="005F7DA8">
        <w:t>.</w:t>
      </w:r>
    </w:p>
    <w:p w14:paraId="5616EDC1" w14:textId="77777777" w:rsidR="00553E08" w:rsidRPr="00564460" w:rsidRDefault="00553E08" w:rsidP="0067169F">
      <w:pPr>
        <w:pStyle w:val="ListParagraph"/>
        <w:numPr>
          <w:ilvl w:val="0"/>
          <w:numId w:val="2"/>
        </w:numPr>
      </w:pPr>
      <w:r w:rsidRPr="00564460">
        <w:t>Supervising</w:t>
      </w:r>
      <w:r w:rsidR="00AF4E44" w:rsidRPr="00564460">
        <w:t>, managing</w:t>
      </w:r>
      <w:r w:rsidRPr="00564460">
        <w:t xml:space="preserve"> </w:t>
      </w:r>
      <w:r w:rsidR="003E6324" w:rsidRPr="00564460">
        <w:t xml:space="preserve">and mentoring </w:t>
      </w:r>
      <w:r w:rsidR="00AF4E44" w:rsidRPr="00564460">
        <w:t>student</w:t>
      </w:r>
      <w:r w:rsidR="00564460" w:rsidRPr="00564460">
        <w:t>s,</w:t>
      </w:r>
      <w:r w:rsidRPr="00564460">
        <w:t xml:space="preserve"> new graduates</w:t>
      </w:r>
      <w:r w:rsidR="00564460" w:rsidRPr="00564460">
        <w:t xml:space="preserve"> and staff teams</w:t>
      </w:r>
      <w:r w:rsidR="00FD7507">
        <w:t xml:space="preserve"> in the workplace</w:t>
      </w:r>
      <w:r w:rsidR="005F7DA8">
        <w:t>.</w:t>
      </w:r>
    </w:p>
    <w:p w14:paraId="48ABDCEE" w14:textId="77777777" w:rsidR="00EC61DB" w:rsidRPr="00564460" w:rsidRDefault="00564460" w:rsidP="0067169F">
      <w:pPr>
        <w:pStyle w:val="ListParagraph"/>
        <w:numPr>
          <w:ilvl w:val="0"/>
          <w:numId w:val="2"/>
        </w:numPr>
      </w:pPr>
      <w:r w:rsidRPr="00564460">
        <w:t>Sourcing, d</w:t>
      </w:r>
      <w:r w:rsidR="00553E08" w:rsidRPr="00564460">
        <w:t>esigning and facilitating</w:t>
      </w:r>
      <w:r w:rsidR="00EC61DB" w:rsidRPr="00564460">
        <w:t xml:space="preserve"> professional development</w:t>
      </w:r>
      <w:r w:rsidR="003E6324" w:rsidRPr="00564460">
        <w:t xml:space="preserve"> </w:t>
      </w:r>
      <w:r w:rsidR="00AF4E44" w:rsidRPr="00564460">
        <w:t xml:space="preserve">activities, </w:t>
      </w:r>
      <w:r w:rsidRPr="00564460">
        <w:t xml:space="preserve">including </w:t>
      </w:r>
      <w:r w:rsidR="00AF4E44" w:rsidRPr="00564460">
        <w:t>workshops and conferences</w:t>
      </w:r>
      <w:r w:rsidR="005F7DA8">
        <w:t>.</w:t>
      </w:r>
    </w:p>
    <w:p w14:paraId="04476BCF" w14:textId="77777777" w:rsidR="00AF4E44" w:rsidRPr="00564460" w:rsidRDefault="00564460" w:rsidP="0067169F">
      <w:pPr>
        <w:pStyle w:val="ListParagraph"/>
        <w:numPr>
          <w:ilvl w:val="0"/>
          <w:numId w:val="3"/>
        </w:numPr>
      </w:pPr>
      <w:r w:rsidRPr="00564460">
        <w:t>C</w:t>
      </w:r>
      <w:r w:rsidR="00AF4E44" w:rsidRPr="00564460">
        <w:t>onducting, presenting and publishing research, including service evaluation</w:t>
      </w:r>
      <w:r w:rsidR="005F7DA8">
        <w:t>.</w:t>
      </w:r>
    </w:p>
    <w:p w14:paraId="42FF9367" w14:textId="77777777" w:rsidR="00023143" w:rsidRDefault="00023143" w:rsidP="0067169F">
      <w:pPr>
        <w:pStyle w:val="ListParagraph"/>
        <w:numPr>
          <w:ilvl w:val="0"/>
          <w:numId w:val="3"/>
        </w:numPr>
      </w:pPr>
      <w:r>
        <w:t>Involvement in strategic planning and policy decisions</w:t>
      </w:r>
      <w:r w:rsidR="005F7DA8">
        <w:t>.</w:t>
      </w:r>
    </w:p>
    <w:p w14:paraId="61C6C0E4" w14:textId="77777777" w:rsidR="00AF4E44" w:rsidRPr="00564460" w:rsidRDefault="00564460" w:rsidP="0067169F">
      <w:pPr>
        <w:pStyle w:val="ListParagraph"/>
        <w:numPr>
          <w:ilvl w:val="0"/>
          <w:numId w:val="3"/>
        </w:numPr>
      </w:pPr>
      <w:r w:rsidRPr="00564460">
        <w:t>S</w:t>
      </w:r>
      <w:r w:rsidR="00AF4E44" w:rsidRPr="00564460">
        <w:t>erving in governance, leadership, consultancy</w:t>
      </w:r>
      <w:r w:rsidR="00EA1447">
        <w:t>, evaluation</w:t>
      </w:r>
      <w:r w:rsidR="00AF4E44" w:rsidRPr="00564460">
        <w:t xml:space="preserve"> and teaching roles locally,</w:t>
      </w:r>
      <w:r w:rsidRPr="00564460">
        <w:t xml:space="preserve"> nationally</w:t>
      </w:r>
      <w:r w:rsidR="00023143">
        <w:t xml:space="preserve"> </w:t>
      </w:r>
      <w:r w:rsidR="00FD7507">
        <w:t>or</w:t>
      </w:r>
      <w:r w:rsidR="00023143">
        <w:t xml:space="preserve"> internationally</w:t>
      </w:r>
      <w:r w:rsidR="005F7DA8">
        <w:t>.</w:t>
      </w:r>
    </w:p>
    <w:p w14:paraId="20E2C8F1" w14:textId="77777777" w:rsidR="00553E08" w:rsidRDefault="005445ED" w:rsidP="00045C26">
      <w:pPr>
        <w:pStyle w:val="Bodytext"/>
      </w:pPr>
      <w:r>
        <w:t>With</w:t>
      </w:r>
      <w:r w:rsidR="000C436E">
        <w:t xml:space="preserve"> </w:t>
      </w:r>
      <w:r w:rsidR="00553E08">
        <w:t xml:space="preserve">increased responsibilities, </w:t>
      </w:r>
      <w:r>
        <w:t>come</w:t>
      </w:r>
      <w:r w:rsidR="000C436E">
        <w:t>s</w:t>
      </w:r>
      <w:r w:rsidR="00553E08">
        <w:t xml:space="preserve"> a need to ensure both safety and quality in practice</w:t>
      </w:r>
      <w:r w:rsidR="00FD7507">
        <w:t xml:space="preserve">. </w:t>
      </w:r>
      <w:r w:rsidR="00490C67">
        <w:t>T</w:t>
      </w:r>
      <w:r w:rsidR="00075049">
        <w:t>herefore</w:t>
      </w:r>
      <w:r w:rsidR="009D00FF">
        <w:t>,</w:t>
      </w:r>
      <w:r w:rsidR="00075049">
        <w:t xml:space="preserve"> a</w:t>
      </w:r>
      <w:r w:rsidR="00553E08">
        <w:t xml:space="preserve">n advanced </w:t>
      </w:r>
      <w:r>
        <w:t>scope</w:t>
      </w:r>
      <w:r w:rsidR="00553E08">
        <w:t xml:space="preserve"> </w:t>
      </w:r>
      <w:r w:rsidR="00075049">
        <w:t xml:space="preserve">of practice </w:t>
      </w:r>
      <w:r w:rsidR="00553E08">
        <w:t xml:space="preserve">may </w:t>
      </w:r>
      <w:r w:rsidR="00EA1447">
        <w:t>involve</w:t>
      </w:r>
      <w:r w:rsidR="00FD7507">
        <w:t>:</w:t>
      </w:r>
    </w:p>
    <w:p w14:paraId="37437E6C" w14:textId="77777777" w:rsidR="005445ED" w:rsidRDefault="00553E08" w:rsidP="0067169F">
      <w:pPr>
        <w:pStyle w:val="ListParagraph"/>
        <w:numPr>
          <w:ilvl w:val="0"/>
          <w:numId w:val="1"/>
        </w:numPr>
      </w:pPr>
      <w:r>
        <w:t xml:space="preserve">additional </w:t>
      </w:r>
      <w:r w:rsidR="005445ED">
        <w:t xml:space="preserve">formal </w:t>
      </w:r>
      <w:r>
        <w:t>training</w:t>
      </w:r>
      <w:r w:rsidR="005F7DA8">
        <w:t>.</w:t>
      </w:r>
    </w:p>
    <w:p w14:paraId="3355C9E8" w14:textId="77777777" w:rsidR="005445ED" w:rsidRDefault="00023143" w:rsidP="0067169F">
      <w:pPr>
        <w:pStyle w:val="ListParagraph"/>
        <w:numPr>
          <w:ilvl w:val="0"/>
          <w:numId w:val="1"/>
        </w:numPr>
      </w:pPr>
      <w:r>
        <w:t xml:space="preserve">a period of </w:t>
      </w:r>
      <w:r w:rsidR="005445ED">
        <w:t xml:space="preserve">observation and </w:t>
      </w:r>
      <w:r w:rsidR="005445ED" w:rsidRPr="002C3B68">
        <w:t xml:space="preserve">practice </w:t>
      </w:r>
      <w:r w:rsidR="005445ED">
        <w:t xml:space="preserve">with </w:t>
      </w:r>
      <w:r w:rsidR="00EA1447">
        <w:t>experts</w:t>
      </w:r>
      <w:r w:rsidR="005445ED">
        <w:t xml:space="preserve"> </w:t>
      </w:r>
      <w:r w:rsidR="00FD7507">
        <w:t>elsewhere</w:t>
      </w:r>
      <w:r w:rsidR="005F7DA8">
        <w:t>.</w:t>
      </w:r>
    </w:p>
    <w:p w14:paraId="7D2F867F" w14:textId="77777777" w:rsidR="00EA1447" w:rsidRDefault="00EA1447" w:rsidP="0067169F">
      <w:pPr>
        <w:pStyle w:val="ListParagraph"/>
        <w:numPr>
          <w:ilvl w:val="0"/>
          <w:numId w:val="1"/>
        </w:numPr>
      </w:pPr>
      <w:r>
        <w:t>internal credentialing by an employer</w:t>
      </w:r>
      <w:r w:rsidR="005F7DA8">
        <w:t>.</w:t>
      </w:r>
    </w:p>
    <w:p w14:paraId="23479F57" w14:textId="77777777" w:rsidR="00553E08" w:rsidRDefault="005445ED" w:rsidP="0067169F">
      <w:pPr>
        <w:pStyle w:val="ListParagraph"/>
        <w:numPr>
          <w:ilvl w:val="0"/>
          <w:numId w:val="1"/>
        </w:numPr>
      </w:pPr>
      <w:r>
        <w:t xml:space="preserve">regular </w:t>
      </w:r>
      <w:r w:rsidR="00553E08">
        <w:t>professional supervision</w:t>
      </w:r>
      <w:r>
        <w:t xml:space="preserve">, </w:t>
      </w:r>
      <w:r w:rsidR="00553E08">
        <w:t xml:space="preserve">monitoring </w:t>
      </w:r>
      <w:r>
        <w:t xml:space="preserve">and/or </w:t>
      </w:r>
      <w:r w:rsidR="00553E08">
        <w:t>mentoring</w:t>
      </w:r>
      <w:r w:rsidR="005F7DA8">
        <w:t>.</w:t>
      </w:r>
    </w:p>
    <w:p w14:paraId="0DB880FC" w14:textId="77777777" w:rsidR="00553E08" w:rsidRDefault="00553E08" w:rsidP="0067169F">
      <w:pPr>
        <w:pStyle w:val="ListParagraph"/>
        <w:numPr>
          <w:ilvl w:val="0"/>
          <w:numId w:val="1"/>
        </w:numPr>
      </w:pPr>
      <w:r>
        <w:t>a redefined position description</w:t>
      </w:r>
      <w:r w:rsidR="005F7DA8">
        <w:t>.</w:t>
      </w:r>
    </w:p>
    <w:p w14:paraId="7A38F5BF" w14:textId="77777777" w:rsidR="00553E08" w:rsidRDefault="00553E08" w:rsidP="0067169F">
      <w:pPr>
        <w:pStyle w:val="ListParagraph"/>
        <w:numPr>
          <w:ilvl w:val="0"/>
          <w:numId w:val="1"/>
        </w:numPr>
      </w:pPr>
      <w:r>
        <w:t>salary adjustment</w:t>
      </w:r>
      <w:r w:rsidR="005F7DA8">
        <w:t>.</w:t>
      </w:r>
    </w:p>
    <w:p w14:paraId="7638950C" w14:textId="77777777" w:rsidR="00201DB2" w:rsidRDefault="00201DB2" w:rsidP="0067169F">
      <w:pPr>
        <w:pStyle w:val="Heading2"/>
      </w:pPr>
      <w:bookmarkStart w:id="45" w:name="_Toc42100169"/>
      <w:bookmarkStart w:id="46" w:name="_Toc23146083"/>
      <w:bookmarkStart w:id="47" w:name="_Ref23496260"/>
      <w:bookmarkStart w:id="48" w:name="_Ref23496265"/>
      <w:bookmarkStart w:id="49" w:name="_Ref23496269"/>
      <w:bookmarkStart w:id="50" w:name="_Toc23146096"/>
      <w:r>
        <w:t>Dual-qualified O&amp;M Specialist</w:t>
      </w:r>
      <w:bookmarkEnd w:id="45"/>
    </w:p>
    <w:p w14:paraId="73BAE684" w14:textId="5807B770" w:rsidR="00201DB2" w:rsidRDefault="00201DB2" w:rsidP="00045C26">
      <w:pPr>
        <w:pStyle w:val="Bodytext"/>
      </w:pPr>
      <w:r>
        <w:t>An O&amp;M Specialist might have additional qualifications that enable practice to extend beyond the scope of a general or advanced O&amp;M Specialist into one or more other professions.</w:t>
      </w:r>
      <w:r w:rsidRPr="003B36BB">
        <w:t xml:space="preserve"> </w:t>
      </w:r>
      <w:r>
        <w:t>Other qualifications that are commonly paired with O&amp;M include, but not limited to: education, occupational therapy, orthoptics, access consultancy, counselling, psychology</w:t>
      </w:r>
      <w:r w:rsidR="00562A13">
        <w:t>,</w:t>
      </w:r>
      <w:r>
        <w:t xml:space="preserve"> and physiotherapy. </w:t>
      </w:r>
    </w:p>
    <w:p w14:paraId="642A4B37" w14:textId="77777777" w:rsidR="00201DB2" w:rsidRDefault="00201DB2" w:rsidP="00045C26">
      <w:pPr>
        <w:pStyle w:val="Bodytext"/>
      </w:pPr>
      <w:r>
        <w:lastRenderedPageBreak/>
        <w:t>In this instance, the COMS program provides the standard for a fully qualified O&amp;M Specialist and the alternative profession has its own professional standards that are likely to include:</w:t>
      </w:r>
    </w:p>
    <w:p w14:paraId="45946129" w14:textId="77777777" w:rsidR="00201DB2" w:rsidRDefault="00201DB2" w:rsidP="0067169F">
      <w:pPr>
        <w:pStyle w:val="ListParagraph"/>
        <w:numPr>
          <w:ilvl w:val="0"/>
          <w:numId w:val="13"/>
        </w:numPr>
      </w:pPr>
      <w:r>
        <w:t xml:space="preserve">Completion of a professional qualification with </w:t>
      </w:r>
      <w:r w:rsidR="004F450E">
        <w:t xml:space="preserve">minimum </w:t>
      </w:r>
      <w:r>
        <w:t>standards for essential content</w:t>
      </w:r>
      <w:r w:rsidR="005F7DA8">
        <w:t>.</w:t>
      </w:r>
    </w:p>
    <w:p w14:paraId="6860361D" w14:textId="77777777" w:rsidR="00201DB2" w:rsidRDefault="00201DB2" w:rsidP="0067169F">
      <w:pPr>
        <w:pStyle w:val="ListParagraph"/>
        <w:numPr>
          <w:ilvl w:val="0"/>
          <w:numId w:val="13"/>
        </w:numPr>
      </w:pPr>
      <w:r>
        <w:t>Membership of a professional body</w:t>
      </w:r>
      <w:r w:rsidR="005F7DA8">
        <w:t>.</w:t>
      </w:r>
    </w:p>
    <w:p w14:paraId="4E08D6AB" w14:textId="77777777" w:rsidR="00201DB2" w:rsidRDefault="00201DB2" w:rsidP="0067169F">
      <w:pPr>
        <w:pStyle w:val="ListParagraph"/>
        <w:numPr>
          <w:ilvl w:val="0"/>
          <w:numId w:val="13"/>
        </w:numPr>
      </w:pPr>
      <w:r>
        <w:t>Certification or registration to practise</w:t>
      </w:r>
      <w:r w:rsidR="005F7DA8">
        <w:t>.</w:t>
      </w:r>
    </w:p>
    <w:p w14:paraId="442039AF" w14:textId="77777777" w:rsidR="00201DB2" w:rsidRDefault="00201DB2" w:rsidP="0067169F">
      <w:pPr>
        <w:pStyle w:val="ListParagraph"/>
        <w:numPr>
          <w:ilvl w:val="0"/>
          <w:numId w:val="13"/>
        </w:numPr>
      </w:pPr>
      <w:r>
        <w:t>Compliance with a code of ethics</w:t>
      </w:r>
      <w:r w:rsidR="005F7DA8">
        <w:t>.</w:t>
      </w:r>
    </w:p>
    <w:p w14:paraId="2351C711" w14:textId="77777777" w:rsidR="00201DB2" w:rsidRDefault="00201DB2" w:rsidP="0067169F">
      <w:pPr>
        <w:pStyle w:val="ListParagraph"/>
        <w:numPr>
          <w:ilvl w:val="0"/>
          <w:numId w:val="13"/>
        </w:numPr>
      </w:pPr>
      <w:r>
        <w:t>Requirements for ongoing professional development</w:t>
      </w:r>
      <w:r w:rsidR="005F7DA8">
        <w:t>.</w:t>
      </w:r>
    </w:p>
    <w:p w14:paraId="134E9E83" w14:textId="77777777" w:rsidR="00201DB2" w:rsidRDefault="00201DB2" w:rsidP="00045C26">
      <w:pPr>
        <w:pStyle w:val="Bodytext"/>
      </w:pPr>
      <w:r>
        <w:t>Eligibility for an O&amp;M position might depend on this dual qualification, in which case</w:t>
      </w:r>
      <w:r w:rsidRPr="003B1F2D">
        <w:t xml:space="preserve"> </w:t>
      </w:r>
      <w:r>
        <w:t xml:space="preserve">it is the responsibility of the individual to maintain registration in both professions. For example, an education department might require an O&amp;M Specialist to also be qualified and registered as a teacher in the local jurisdiction. </w:t>
      </w:r>
    </w:p>
    <w:p w14:paraId="4A23B811" w14:textId="77777777" w:rsidR="00733028" w:rsidRPr="00192A7A" w:rsidRDefault="00733028" w:rsidP="0067169F">
      <w:pPr>
        <w:pStyle w:val="Heading2"/>
      </w:pPr>
      <w:bookmarkStart w:id="51" w:name="_Toc42100170"/>
      <w:r w:rsidRPr="00192A7A">
        <w:t>Guide Dog Mobility</w:t>
      </w:r>
      <w:bookmarkEnd w:id="46"/>
      <w:r w:rsidRPr="00192A7A">
        <w:t xml:space="preserve"> Instructor</w:t>
      </w:r>
      <w:bookmarkEnd w:id="51"/>
    </w:p>
    <w:p w14:paraId="57595205" w14:textId="77777777" w:rsidR="00192A7A" w:rsidRPr="00192A7A" w:rsidRDefault="007408BD" w:rsidP="00045C26">
      <w:pPr>
        <w:pStyle w:val="Bodytext"/>
      </w:pPr>
      <w:r w:rsidRPr="00192A7A">
        <w:t xml:space="preserve">Guide dog mobility traineeships are managed </w:t>
      </w:r>
      <w:r w:rsidR="00192A7A" w:rsidRPr="00192A7A">
        <w:t xml:space="preserve">and taught </w:t>
      </w:r>
      <w:r w:rsidRPr="00192A7A">
        <w:t xml:space="preserve">by </w:t>
      </w:r>
      <w:r w:rsidR="00C91509" w:rsidRPr="00192A7A">
        <w:t xml:space="preserve">guide dog schools and </w:t>
      </w:r>
      <w:r w:rsidR="00B4611A">
        <w:t>the title “g</w:t>
      </w:r>
      <w:r w:rsidR="009B6F17" w:rsidRPr="00192A7A">
        <w:t xml:space="preserve">uide </w:t>
      </w:r>
      <w:r w:rsidR="00B4611A">
        <w:t>d</w:t>
      </w:r>
      <w:r w:rsidR="009B6F17" w:rsidRPr="00192A7A">
        <w:t xml:space="preserve">og </w:t>
      </w:r>
      <w:r w:rsidR="00B4611A">
        <w:t>m</w:t>
      </w:r>
      <w:r w:rsidR="009B6F17" w:rsidRPr="00192A7A">
        <w:t xml:space="preserve">obility </w:t>
      </w:r>
      <w:r w:rsidR="00B4611A">
        <w:t>i</w:t>
      </w:r>
      <w:r w:rsidR="009B6F17" w:rsidRPr="00192A7A">
        <w:t>nstructor</w:t>
      </w:r>
      <w:r w:rsidR="00DD383D">
        <w:t>”</w:t>
      </w:r>
      <w:r w:rsidR="009B6F17" w:rsidRPr="00192A7A">
        <w:t xml:space="preserve"> (GDMI) implies that a </w:t>
      </w:r>
      <w:r w:rsidR="00DD383D">
        <w:t xml:space="preserve">guide dog </w:t>
      </w:r>
      <w:r w:rsidR="009B6F17" w:rsidRPr="00192A7A">
        <w:t xml:space="preserve">trainer has also learned </w:t>
      </w:r>
      <w:r w:rsidR="0083145C">
        <w:t xml:space="preserve">some </w:t>
      </w:r>
      <w:r w:rsidR="009B6F17" w:rsidRPr="00192A7A">
        <w:t xml:space="preserve">O&amp;M skills to work with clients. </w:t>
      </w:r>
      <w:r w:rsidR="00DB5835" w:rsidRPr="00192A7A">
        <w:t>The International Guide Dog Federation (IGDF) provides curriculum standards for GDMI traineeships</w:t>
      </w:r>
      <w:r w:rsidR="00C91509">
        <w:rPr>
          <w:noProof/>
        </w:rPr>
        <w:t>[23]</w:t>
      </w:r>
      <w:r w:rsidR="00192A7A" w:rsidRPr="00192A7A">
        <w:t xml:space="preserve"> that include some O&amp;M content,</w:t>
      </w:r>
      <w:r w:rsidR="00DB5835" w:rsidRPr="00192A7A">
        <w:t xml:space="preserve"> and international assessors who </w:t>
      </w:r>
      <w:r w:rsidR="00C91509" w:rsidRPr="00192A7A">
        <w:t xml:space="preserve">audit guide dog schools and review training procedures, but O&amp;M content in a traineeship can vary and there </w:t>
      </w:r>
      <w:r w:rsidR="00DB5835" w:rsidRPr="00192A7A">
        <w:t xml:space="preserve">is no </w:t>
      </w:r>
      <w:r w:rsidR="00192A7A" w:rsidRPr="00192A7A">
        <w:t xml:space="preserve">standardised </w:t>
      </w:r>
      <w:r w:rsidR="00DB5835" w:rsidRPr="00192A7A">
        <w:t>professional registration for qualified GDMIs</w:t>
      </w:r>
      <w:r w:rsidR="00192A7A" w:rsidRPr="00192A7A">
        <w:t>.</w:t>
      </w:r>
    </w:p>
    <w:p w14:paraId="18AC6E99" w14:textId="77777777" w:rsidR="00925B5E" w:rsidRDefault="00DF4ABB" w:rsidP="00045C26">
      <w:pPr>
        <w:pStyle w:val="Bodytext"/>
      </w:pPr>
      <w:r w:rsidRPr="00192A7A">
        <w:t>Worldwide, the O&amp;M and guide dog mobility professions tend to operate in parallel</w:t>
      </w:r>
      <w:r w:rsidR="00113135" w:rsidRPr="00192A7A">
        <w:t>, but in Australia the two are more closely connected.</w:t>
      </w:r>
      <w:r w:rsidR="00DB5835" w:rsidRPr="00192A7A">
        <w:t xml:space="preserve"> </w:t>
      </w:r>
      <w:r w:rsidR="00C91509">
        <w:t>W</w:t>
      </w:r>
      <w:r w:rsidR="00C91509" w:rsidRPr="00192A7A">
        <w:t xml:space="preserve">hile some </w:t>
      </w:r>
      <w:r w:rsidR="00C91509">
        <w:t>guide dog</w:t>
      </w:r>
      <w:r w:rsidR="00C91509" w:rsidRPr="00192A7A">
        <w:t xml:space="preserve"> schools elect to teach O&amp;M content to trainees in-house, </w:t>
      </w:r>
      <w:r w:rsidR="005B6CF7" w:rsidRPr="00192A7A">
        <w:t xml:space="preserve">Australia was an early adopter of dual O&amp;M/GD </w:t>
      </w:r>
      <w:r w:rsidR="00113135" w:rsidRPr="00192A7A">
        <w:t>qualification</w:t>
      </w:r>
      <w:r w:rsidR="002C3CF4" w:rsidRPr="00192A7A">
        <w:t>s</w:t>
      </w:r>
      <w:r w:rsidR="00DD383D">
        <w:t xml:space="preserve">. </w:t>
      </w:r>
      <w:r w:rsidR="00C91509">
        <w:t>M</w:t>
      </w:r>
      <w:r w:rsidRPr="00192A7A">
        <w:t>ost</w:t>
      </w:r>
      <w:r w:rsidR="005B6CF7" w:rsidRPr="00192A7A">
        <w:t xml:space="preserve"> GDMIs in Australia</w:t>
      </w:r>
      <w:r w:rsidR="00FD7D47" w:rsidRPr="00192A7A">
        <w:t xml:space="preserve"> </w:t>
      </w:r>
      <w:r w:rsidR="005B6CF7" w:rsidRPr="00192A7A">
        <w:t xml:space="preserve">have undertaken </w:t>
      </w:r>
      <w:r w:rsidR="007408BD" w:rsidRPr="00192A7A">
        <w:t>a university</w:t>
      </w:r>
      <w:r w:rsidR="005B6CF7" w:rsidRPr="00192A7A">
        <w:t xml:space="preserve"> O&amp;M qualification </w:t>
      </w:r>
      <w:r w:rsidR="00DD383D">
        <w:t xml:space="preserve">as part of their traineeship </w:t>
      </w:r>
      <w:r w:rsidR="003B1D95" w:rsidRPr="00192A7A">
        <w:t>and are eligible to apply for COMS.</w:t>
      </w:r>
      <w:r w:rsidR="00C47E24" w:rsidRPr="00192A7A">
        <w:t xml:space="preserve"> </w:t>
      </w:r>
      <w:r w:rsidR="007B7EA9" w:rsidRPr="00192A7A">
        <w:t>Dual GDM/O&amp;M qualification of Instructors reinforces the importance of person-centred practice in GD mobility</w:t>
      </w:r>
      <w:r w:rsidR="00DD383D">
        <w:t xml:space="preserve">, </w:t>
      </w:r>
      <w:r w:rsidR="00DD383D" w:rsidRPr="00192A7A">
        <w:t>with the dog aiding the client’s O&amp;M needs.</w:t>
      </w:r>
      <w:r w:rsidR="00C91509" w:rsidRPr="00C91509">
        <w:t xml:space="preserve"> </w:t>
      </w:r>
      <w:r w:rsidR="00C91509">
        <w:t>Thus, t</w:t>
      </w:r>
      <w:r w:rsidR="00C91509" w:rsidRPr="00192A7A">
        <w:t>he OMAA regards GD mobility as a specialisation of O&amp;M</w:t>
      </w:r>
      <w:r w:rsidR="00C91509">
        <w:t>.</w:t>
      </w:r>
    </w:p>
    <w:p w14:paraId="2A1BA2D3" w14:textId="77777777" w:rsidR="00C91509" w:rsidRPr="00192A7A" w:rsidRDefault="00C91509" w:rsidP="00045C26">
      <w:pPr>
        <w:pStyle w:val="Bodytext"/>
      </w:pPr>
      <w:bookmarkStart w:id="52" w:name="_Hlk35615925"/>
      <w:r w:rsidRPr="00192A7A">
        <w:t xml:space="preserve">A GDMI without comprehensive O&amp;M skills is likely to manage the dog-related aspects of client training, but refer a </w:t>
      </w:r>
      <w:r>
        <w:t xml:space="preserve">guide dog </w:t>
      </w:r>
      <w:r w:rsidRPr="00192A7A">
        <w:t xml:space="preserve">client back to an O&amp;M </w:t>
      </w:r>
      <w:r>
        <w:t>s</w:t>
      </w:r>
      <w:r w:rsidRPr="00192A7A">
        <w:t xml:space="preserve">pecialist for preparatory skills before matching with a dog, for refresher O&amp;M training as needed during the working life of the dog, or to update the client’s travel skills after a dog has retired, while waiting for a new dog.  </w:t>
      </w:r>
    </w:p>
    <w:bookmarkEnd w:id="52"/>
    <w:p w14:paraId="014237D2" w14:textId="77777777" w:rsidR="00196432" w:rsidRPr="00192A7A" w:rsidRDefault="00DB5835" w:rsidP="00045C26">
      <w:pPr>
        <w:pStyle w:val="Bodytext"/>
      </w:pPr>
      <w:r w:rsidRPr="00192A7A">
        <w:t>In addition to general O&amp;M services, t</w:t>
      </w:r>
      <w:r w:rsidR="00C47E24" w:rsidRPr="00192A7A">
        <w:t>he</w:t>
      </w:r>
      <w:r w:rsidR="009806F2" w:rsidRPr="00192A7A">
        <w:t xml:space="preserve"> </w:t>
      </w:r>
      <w:r w:rsidR="00C47E24" w:rsidRPr="00192A7A">
        <w:t xml:space="preserve">scope </w:t>
      </w:r>
      <w:r w:rsidR="009B6F17" w:rsidRPr="00192A7A">
        <w:t>of a dual</w:t>
      </w:r>
      <w:r w:rsidR="007B7EA9" w:rsidRPr="00192A7A">
        <w:t>-</w:t>
      </w:r>
      <w:r w:rsidR="009B6F17" w:rsidRPr="00192A7A">
        <w:t xml:space="preserve">qualified GDMI </w:t>
      </w:r>
      <w:r w:rsidR="00196432" w:rsidRPr="00192A7A">
        <w:t>includes, but is not limited to:</w:t>
      </w:r>
    </w:p>
    <w:p w14:paraId="64642B7C" w14:textId="77777777" w:rsidR="00196432" w:rsidRPr="00192A7A" w:rsidRDefault="00196432" w:rsidP="0067169F">
      <w:pPr>
        <w:pStyle w:val="ListParagraph"/>
        <w:numPr>
          <w:ilvl w:val="0"/>
          <w:numId w:val="16"/>
        </w:numPr>
      </w:pPr>
      <w:r w:rsidRPr="00192A7A">
        <w:t>assessing and training guide dogs</w:t>
      </w:r>
      <w:r w:rsidR="00FF06EA" w:rsidRPr="00192A7A">
        <w:t>, attending to their humane care and treatment</w:t>
      </w:r>
      <w:r w:rsidR="005F7DA8">
        <w:t>.</w:t>
      </w:r>
    </w:p>
    <w:p w14:paraId="71E516BA" w14:textId="77777777" w:rsidR="00196432" w:rsidRPr="00192A7A" w:rsidRDefault="00196432" w:rsidP="0067169F">
      <w:pPr>
        <w:pStyle w:val="ListParagraph"/>
        <w:numPr>
          <w:ilvl w:val="0"/>
          <w:numId w:val="16"/>
        </w:numPr>
      </w:pPr>
      <w:r w:rsidRPr="00192A7A">
        <w:t>assessing the clients’ O&amp;M needs</w:t>
      </w:r>
      <w:r w:rsidR="00841B37" w:rsidRPr="00192A7A">
        <w:t>/</w:t>
      </w:r>
      <w:r w:rsidRPr="00192A7A">
        <w:t>goals, then matching these with an appropriate dog</w:t>
      </w:r>
      <w:r w:rsidR="005F7DA8">
        <w:t>.</w:t>
      </w:r>
    </w:p>
    <w:p w14:paraId="7CA5CB56" w14:textId="77777777" w:rsidR="00196432" w:rsidRPr="00192A7A" w:rsidRDefault="00196432" w:rsidP="0067169F">
      <w:pPr>
        <w:pStyle w:val="ListParagraph"/>
        <w:numPr>
          <w:ilvl w:val="0"/>
          <w:numId w:val="16"/>
        </w:numPr>
      </w:pPr>
      <w:r w:rsidRPr="00192A7A">
        <w:t>preparing the client with the necessary O&amp;M skills to undertake guide dog mobility and to manage</w:t>
      </w:r>
      <w:r w:rsidR="00FF06EA" w:rsidRPr="00192A7A">
        <w:t xml:space="preserve"> personal</w:t>
      </w:r>
      <w:r w:rsidRPr="00192A7A">
        <w:t xml:space="preserve"> travel when the dog is out of action</w:t>
      </w:r>
      <w:r w:rsidR="005F7DA8">
        <w:t>.</w:t>
      </w:r>
    </w:p>
    <w:p w14:paraId="7F76A67D" w14:textId="77777777" w:rsidR="00196432" w:rsidRPr="00192A7A" w:rsidRDefault="00196432" w:rsidP="0067169F">
      <w:pPr>
        <w:pStyle w:val="ListParagraph"/>
        <w:numPr>
          <w:ilvl w:val="0"/>
          <w:numId w:val="16"/>
        </w:numPr>
      </w:pPr>
      <w:r w:rsidRPr="00192A7A">
        <w:t>training the client/dog team and then supporting transfer of skills to the client’s lived environments</w:t>
      </w:r>
      <w:r w:rsidR="005F7DA8">
        <w:t>.</w:t>
      </w:r>
    </w:p>
    <w:p w14:paraId="05DDFA2E" w14:textId="77777777" w:rsidR="00196432" w:rsidRPr="00192A7A" w:rsidRDefault="00196432" w:rsidP="0067169F">
      <w:pPr>
        <w:pStyle w:val="ListParagraph"/>
        <w:numPr>
          <w:ilvl w:val="0"/>
          <w:numId w:val="16"/>
        </w:numPr>
      </w:pPr>
      <w:r w:rsidRPr="00192A7A">
        <w:lastRenderedPageBreak/>
        <w:t>providing aftercare and follow up support throughout the dog’s working life</w:t>
      </w:r>
      <w:r w:rsidR="005F7DA8">
        <w:t>.</w:t>
      </w:r>
    </w:p>
    <w:p w14:paraId="2FD3786D" w14:textId="77777777" w:rsidR="00196432" w:rsidRPr="00192A7A" w:rsidRDefault="00196432" w:rsidP="0067169F">
      <w:pPr>
        <w:pStyle w:val="ListParagraph"/>
        <w:numPr>
          <w:ilvl w:val="0"/>
          <w:numId w:val="16"/>
        </w:numPr>
      </w:pPr>
      <w:r w:rsidRPr="00192A7A">
        <w:t>teaching self-advocacy skills</w:t>
      </w:r>
      <w:r w:rsidR="001E7486" w:rsidRPr="00192A7A">
        <w:t xml:space="preserve">; </w:t>
      </w:r>
      <w:r w:rsidRPr="00192A7A">
        <w:t>advocating on behalf of the client to support guide dog client access to public places</w:t>
      </w:r>
      <w:r w:rsidR="005F7DA8">
        <w:t>.</w:t>
      </w:r>
    </w:p>
    <w:p w14:paraId="5EBFAC89" w14:textId="77777777" w:rsidR="00E834BD" w:rsidRPr="00192A7A" w:rsidRDefault="00E834BD" w:rsidP="00045C26">
      <w:pPr>
        <w:pStyle w:val="Bodytext"/>
      </w:pPr>
      <w:r w:rsidRPr="00192A7A">
        <w:t xml:space="preserve">GDMIs who have completed a </w:t>
      </w:r>
      <w:r w:rsidR="007408BD" w:rsidRPr="00192A7A">
        <w:t xml:space="preserve">university </w:t>
      </w:r>
      <w:r w:rsidRPr="00192A7A">
        <w:t>O&amp;M qualification are encouraged by the OMAA to apply for COMS and become a Registered O&amp;M Specialist in Australasia</w:t>
      </w:r>
      <w:r w:rsidR="00641AE5" w:rsidRPr="00192A7A">
        <w:t>. These</w:t>
      </w:r>
      <w:r w:rsidR="00FD06AC" w:rsidRPr="00192A7A">
        <w:t xml:space="preserve"> professional standards</w:t>
      </w:r>
      <w:r w:rsidR="00841B37" w:rsidRPr="00192A7A">
        <w:t>:</w:t>
      </w:r>
      <w:r w:rsidRPr="00192A7A">
        <w:t xml:space="preserve"> </w:t>
      </w:r>
    </w:p>
    <w:p w14:paraId="7A4AF3C9" w14:textId="77777777" w:rsidR="00E834BD" w:rsidRPr="00192A7A" w:rsidRDefault="007408BD" w:rsidP="0067169F">
      <w:pPr>
        <w:pStyle w:val="ListParagraph"/>
        <w:numPr>
          <w:ilvl w:val="0"/>
          <w:numId w:val="12"/>
        </w:numPr>
      </w:pPr>
      <w:r w:rsidRPr="00192A7A">
        <w:t xml:space="preserve">provide a benchmark for </w:t>
      </w:r>
      <w:r w:rsidR="00E834BD" w:rsidRPr="00192A7A">
        <w:t xml:space="preserve">O&amp;M content covered in </w:t>
      </w:r>
      <w:r w:rsidRPr="00192A7A">
        <w:t xml:space="preserve">a </w:t>
      </w:r>
      <w:r w:rsidR="00E834BD" w:rsidRPr="00192A7A">
        <w:t>GDMI train</w:t>
      </w:r>
      <w:r w:rsidRPr="00192A7A">
        <w:t>eeship, clarifying the</w:t>
      </w:r>
      <w:r w:rsidR="007B7EA9" w:rsidRPr="00192A7A">
        <w:t xml:space="preserve"> graduate’s </w:t>
      </w:r>
      <w:r w:rsidRPr="00192A7A">
        <w:t xml:space="preserve">level and depth of O&amp;M </w:t>
      </w:r>
      <w:r w:rsidR="00F07F8D" w:rsidRPr="00192A7A">
        <w:t>knowledge</w:t>
      </w:r>
      <w:r w:rsidR="005F7DA8">
        <w:t>.</w:t>
      </w:r>
    </w:p>
    <w:p w14:paraId="28775511" w14:textId="77777777" w:rsidR="007B7EA9" w:rsidRPr="00192A7A" w:rsidRDefault="007E6BA8" w:rsidP="0067169F">
      <w:pPr>
        <w:pStyle w:val="ListParagraph"/>
        <w:numPr>
          <w:ilvl w:val="0"/>
          <w:numId w:val="12"/>
        </w:numPr>
      </w:pPr>
      <w:r w:rsidRPr="00192A7A">
        <w:t>provide internationally recognised mobility credentials for a GDMI</w:t>
      </w:r>
      <w:r w:rsidR="005F7DA8">
        <w:t>.</w:t>
      </w:r>
    </w:p>
    <w:p w14:paraId="05072826" w14:textId="77777777" w:rsidR="00E834BD" w:rsidRPr="00192A7A" w:rsidRDefault="00E834BD" w:rsidP="0067169F">
      <w:pPr>
        <w:pStyle w:val="ListParagraph"/>
        <w:numPr>
          <w:ilvl w:val="0"/>
          <w:numId w:val="12"/>
        </w:numPr>
      </w:pPr>
      <w:r w:rsidRPr="00192A7A">
        <w:t>increase employment options</w:t>
      </w:r>
      <w:r w:rsidR="00DB5835" w:rsidRPr="00192A7A">
        <w:t xml:space="preserve">, </w:t>
      </w:r>
      <w:r w:rsidRPr="00192A7A">
        <w:t>enabling easier movement between GDMI and O&amp;M roles</w:t>
      </w:r>
      <w:r w:rsidR="007B7EA9" w:rsidRPr="00192A7A">
        <w:t>, agency employment and private practice</w:t>
      </w:r>
      <w:r w:rsidR="005F7DA8">
        <w:t>.</w:t>
      </w:r>
    </w:p>
    <w:p w14:paraId="7E9BEB67" w14:textId="77777777" w:rsidR="00C5492A" w:rsidRPr="00192A7A" w:rsidRDefault="00641AE5" w:rsidP="0067169F">
      <w:pPr>
        <w:pStyle w:val="ListParagraph"/>
        <w:numPr>
          <w:ilvl w:val="0"/>
          <w:numId w:val="11"/>
        </w:numPr>
      </w:pPr>
      <w:r w:rsidRPr="00192A7A">
        <w:t>equip the</w:t>
      </w:r>
      <w:r w:rsidR="00C5492A" w:rsidRPr="00192A7A">
        <w:t xml:space="preserve"> </w:t>
      </w:r>
      <w:r w:rsidRPr="00192A7A">
        <w:t>GDMI</w:t>
      </w:r>
      <w:r w:rsidR="00C5492A" w:rsidRPr="00192A7A">
        <w:t xml:space="preserve"> </w:t>
      </w:r>
      <w:r w:rsidRPr="00192A7A">
        <w:t xml:space="preserve">to address </w:t>
      </w:r>
      <w:r w:rsidR="00C5492A" w:rsidRPr="00192A7A">
        <w:t>the client</w:t>
      </w:r>
      <w:r w:rsidR="008D79B0" w:rsidRPr="00192A7A">
        <w:t>’</w:t>
      </w:r>
      <w:r w:rsidR="00C5492A" w:rsidRPr="00192A7A">
        <w:t>s holistic needs</w:t>
      </w:r>
      <w:r w:rsidR="00F07F8D" w:rsidRPr="00192A7A">
        <w:t xml:space="preserve"> beyond </w:t>
      </w:r>
      <w:r w:rsidR="00192A7A" w:rsidRPr="00192A7A">
        <w:t>GD mobility</w:t>
      </w:r>
      <w:r w:rsidR="005F7DA8">
        <w:t>.</w:t>
      </w:r>
    </w:p>
    <w:p w14:paraId="3EA2D810" w14:textId="77777777" w:rsidR="00841B37" w:rsidRPr="00192A7A" w:rsidRDefault="00841B37" w:rsidP="0067169F">
      <w:pPr>
        <w:pStyle w:val="ListParagraph"/>
        <w:numPr>
          <w:ilvl w:val="0"/>
          <w:numId w:val="11"/>
        </w:numPr>
      </w:pPr>
      <w:r w:rsidRPr="00192A7A">
        <w:t>demonstrate commitment to the mobility profession, not just to the local employer</w:t>
      </w:r>
      <w:r w:rsidR="005F7DA8">
        <w:t>.</w:t>
      </w:r>
    </w:p>
    <w:p w14:paraId="0847AB38" w14:textId="77777777" w:rsidR="00E834BD" w:rsidRPr="00192A7A" w:rsidRDefault="00E834BD" w:rsidP="0067169F">
      <w:pPr>
        <w:pStyle w:val="ListParagraph"/>
        <w:numPr>
          <w:ilvl w:val="0"/>
          <w:numId w:val="11"/>
        </w:numPr>
      </w:pPr>
      <w:r w:rsidRPr="00192A7A">
        <w:t xml:space="preserve">provide an accountability framework for </w:t>
      </w:r>
      <w:r w:rsidR="00FD06AC" w:rsidRPr="00192A7A">
        <w:t xml:space="preserve">ongoing </w:t>
      </w:r>
      <w:r w:rsidRPr="00192A7A">
        <w:t xml:space="preserve">professional development </w:t>
      </w:r>
      <w:r w:rsidR="008D79B0" w:rsidRPr="00192A7A">
        <w:t>and recertification after five years</w:t>
      </w:r>
      <w:r w:rsidR="005F7DA8">
        <w:t>.</w:t>
      </w:r>
    </w:p>
    <w:p w14:paraId="408028CF" w14:textId="77777777" w:rsidR="001F224D" w:rsidRPr="00192A7A" w:rsidRDefault="00F07F8D" w:rsidP="00045C26">
      <w:pPr>
        <w:pStyle w:val="Bodytext"/>
      </w:pPr>
      <w:r w:rsidRPr="00192A7A">
        <w:t>Nevertheless, t</w:t>
      </w:r>
      <w:r w:rsidR="00445EAA" w:rsidRPr="00192A7A">
        <w:t xml:space="preserve">he OMAA </w:t>
      </w:r>
      <w:r w:rsidR="00C0450E" w:rsidRPr="00192A7A">
        <w:t>recognises th</w:t>
      </w:r>
      <w:r w:rsidR="00445EAA" w:rsidRPr="00192A7A">
        <w:t>a</w:t>
      </w:r>
      <w:r w:rsidR="00C315E1" w:rsidRPr="00192A7A">
        <w:t>t</w:t>
      </w:r>
      <w:r w:rsidR="007B7EA9" w:rsidRPr="00192A7A">
        <w:t>:</w:t>
      </w:r>
    </w:p>
    <w:p w14:paraId="0FAA6026" w14:textId="77777777" w:rsidR="00997269" w:rsidRPr="00192A7A" w:rsidRDefault="00997269" w:rsidP="0067169F">
      <w:pPr>
        <w:pStyle w:val="ListParagraph"/>
      </w:pPr>
      <w:r w:rsidRPr="00192A7A">
        <w:t>an O&amp;M qualification is not a requirement of all GD Schools in Australia and New Zealand</w:t>
      </w:r>
      <w:r w:rsidR="005F7DA8">
        <w:t>.</w:t>
      </w:r>
    </w:p>
    <w:p w14:paraId="16374835" w14:textId="77777777" w:rsidR="00D37C26" w:rsidRPr="00192A7A" w:rsidRDefault="007E6BA8" w:rsidP="0067169F">
      <w:pPr>
        <w:pStyle w:val="ListParagraph"/>
      </w:pPr>
      <w:r w:rsidRPr="00192A7A">
        <w:t>expectation of a</w:t>
      </w:r>
      <w:r w:rsidR="00D37C26" w:rsidRPr="00192A7A">
        <w:t xml:space="preserve"> formal O&amp;M qualification exceeds the current requirements of the IGDF</w:t>
      </w:r>
      <w:r w:rsidR="008D79B0" w:rsidRPr="00192A7A">
        <w:t xml:space="preserve"> for O&amp;M content in a GDMI traineeship</w:t>
      </w:r>
      <w:r w:rsidR="005F7DA8">
        <w:t>.</w:t>
      </w:r>
    </w:p>
    <w:p w14:paraId="61D9C7C8" w14:textId="77777777" w:rsidR="00445EAA" w:rsidRPr="00192A7A" w:rsidRDefault="00445EAA" w:rsidP="0067169F">
      <w:pPr>
        <w:pStyle w:val="ListParagraph"/>
      </w:pPr>
      <w:r w:rsidRPr="00192A7A">
        <w:t xml:space="preserve">a COMS-compliant O&amp;M </w:t>
      </w:r>
      <w:r w:rsidR="00FD06AC" w:rsidRPr="00192A7A">
        <w:t>qualification</w:t>
      </w:r>
      <w:r w:rsidRPr="00192A7A">
        <w:t xml:space="preserve"> is not a feasible undertaking for all GDMI</w:t>
      </w:r>
      <w:r w:rsidR="00FD06AC" w:rsidRPr="00192A7A">
        <w:t>s</w:t>
      </w:r>
      <w:r w:rsidRPr="00192A7A">
        <w:t xml:space="preserve"> worldwide</w:t>
      </w:r>
      <w:r w:rsidR="005F7DA8">
        <w:t>.</w:t>
      </w:r>
    </w:p>
    <w:p w14:paraId="7AD23C23" w14:textId="77777777" w:rsidR="008D79B0" w:rsidRPr="00192A7A" w:rsidRDefault="008D79B0" w:rsidP="0067169F">
      <w:pPr>
        <w:pStyle w:val="ListParagraph"/>
      </w:pPr>
      <w:r w:rsidRPr="00192A7A">
        <w:t>dual qualification as a GDMI/COMS does not necessarily lead to different career pathway</w:t>
      </w:r>
      <w:r w:rsidR="007B7EA9" w:rsidRPr="00192A7A">
        <w:t>s</w:t>
      </w:r>
      <w:r w:rsidRPr="00192A7A">
        <w:t xml:space="preserve"> or higher salary</w:t>
      </w:r>
      <w:r w:rsidR="005F7DA8">
        <w:t>.</w:t>
      </w:r>
    </w:p>
    <w:p w14:paraId="6E5A0DE9" w14:textId="77777777" w:rsidR="00D37C26" w:rsidRPr="00192A7A" w:rsidRDefault="00997269" w:rsidP="0067169F">
      <w:pPr>
        <w:pStyle w:val="ListParagraph"/>
      </w:pPr>
      <w:r w:rsidRPr="00192A7A">
        <w:t xml:space="preserve">a </w:t>
      </w:r>
      <w:r w:rsidR="00D37C26" w:rsidRPr="00192A7A">
        <w:t>GDMI trainee might not be eligible to enrol for an available university O&amp;M program</w:t>
      </w:r>
      <w:r w:rsidR="005F7DA8">
        <w:t>.</w:t>
      </w:r>
    </w:p>
    <w:p w14:paraId="0FD4A5F3" w14:textId="77777777" w:rsidR="00925B5E" w:rsidRPr="00192A7A" w:rsidRDefault="00D37C26" w:rsidP="0067169F">
      <w:pPr>
        <w:pStyle w:val="ListParagraph"/>
      </w:pPr>
      <w:r w:rsidRPr="00192A7A">
        <w:t>a</w:t>
      </w:r>
      <w:r w:rsidR="00812FE7" w:rsidRPr="00192A7A">
        <w:t xml:space="preserve"> </w:t>
      </w:r>
      <w:r w:rsidR="00196432" w:rsidRPr="00192A7A">
        <w:t>university</w:t>
      </w:r>
      <w:r w:rsidR="00ED24F2" w:rsidRPr="00192A7A">
        <w:t xml:space="preserve"> O&amp;M </w:t>
      </w:r>
      <w:r w:rsidRPr="00192A7A">
        <w:t>program</w:t>
      </w:r>
      <w:r w:rsidR="00ED24F2" w:rsidRPr="00192A7A">
        <w:t xml:space="preserve"> </w:t>
      </w:r>
      <w:r w:rsidR="00812FE7" w:rsidRPr="00192A7A">
        <w:t xml:space="preserve">is </w:t>
      </w:r>
      <w:r w:rsidRPr="00192A7A">
        <w:t xml:space="preserve">not always </w:t>
      </w:r>
      <w:r w:rsidR="00ED24F2" w:rsidRPr="00192A7A">
        <w:t xml:space="preserve">available </w:t>
      </w:r>
      <w:r w:rsidR="00031544" w:rsidRPr="00192A7A">
        <w:t xml:space="preserve">at </w:t>
      </w:r>
      <w:r w:rsidRPr="00192A7A">
        <w:t>an</w:t>
      </w:r>
      <w:r w:rsidR="00031544" w:rsidRPr="00192A7A">
        <w:t xml:space="preserve"> appropriate time in </w:t>
      </w:r>
      <w:r w:rsidR="00B94D6E" w:rsidRPr="00192A7A">
        <w:t xml:space="preserve">a GDMI </w:t>
      </w:r>
      <w:r w:rsidR="00031544" w:rsidRPr="00192A7A">
        <w:t>train</w:t>
      </w:r>
      <w:r w:rsidR="00B94D6E" w:rsidRPr="00192A7A">
        <w:t>eeship</w:t>
      </w:r>
      <w:r w:rsidR="002B413E" w:rsidRPr="00192A7A">
        <w:t>,</w:t>
      </w:r>
      <w:r w:rsidR="00B94D6E" w:rsidRPr="00192A7A">
        <w:t xml:space="preserve"> </w:t>
      </w:r>
      <w:r w:rsidR="00180AF4" w:rsidRPr="00192A7A">
        <w:t xml:space="preserve">which </w:t>
      </w:r>
      <w:r w:rsidR="00F07F8D" w:rsidRPr="00192A7A">
        <w:t>can have tight schedules</w:t>
      </w:r>
      <w:r w:rsidR="00180AF4" w:rsidRPr="00192A7A">
        <w:t xml:space="preserve"> around dog training, matching and client training</w:t>
      </w:r>
      <w:r w:rsidR="005F7DA8">
        <w:t>.</w:t>
      </w:r>
    </w:p>
    <w:p w14:paraId="6BEF09F5" w14:textId="77777777" w:rsidR="00043C12" w:rsidRPr="000C2D3E" w:rsidRDefault="001C6865" w:rsidP="0067169F">
      <w:pPr>
        <w:pStyle w:val="Heading1"/>
      </w:pPr>
      <w:bookmarkStart w:id="53" w:name="_Toc22547307"/>
      <w:bookmarkStart w:id="54" w:name="_Toc23146102"/>
      <w:bookmarkStart w:id="55" w:name="_Toc42100171"/>
      <w:bookmarkEnd w:id="47"/>
      <w:bookmarkEnd w:id="48"/>
      <w:bookmarkEnd w:id="49"/>
      <w:bookmarkEnd w:id="50"/>
      <w:r>
        <w:t xml:space="preserve">Collaboration and </w:t>
      </w:r>
      <w:r w:rsidR="004F1998">
        <w:t>d</w:t>
      </w:r>
      <w:r w:rsidR="00043C12" w:rsidRPr="000C2D3E">
        <w:t xml:space="preserve">elegations of </w:t>
      </w:r>
      <w:r w:rsidR="00016620">
        <w:t>s</w:t>
      </w:r>
      <w:r w:rsidR="00043C12" w:rsidRPr="000C2D3E">
        <w:t>cope</w:t>
      </w:r>
      <w:bookmarkEnd w:id="53"/>
      <w:bookmarkEnd w:id="54"/>
      <w:bookmarkEnd w:id="55"/>
    </w:p>
    <w:p w14:paraId="4C5DDC10" w14:textId="77777777" w:rsidR="007A2E75" w:rsidRDefault="00F44412" w:rsidP="00045C26">
      <w:pPr>
        <w:pStyle w:val="Bodytext"/>
      </w:pPr>
      <w:r>
        <w:t xml:space="preserve">O&amp;M </w:t>
      </w:r>
      <w:r w:rsidR="001B7E59">
        <w:t>practice is</w:t>
      </w:r>
      <w:r>
        <w:t xml:space="preserve"> always embedded in a </w:t>
      </w:r>
      <w:r w:rsidR="00C5398D">
        <w:t xml:space="preserve">specific </w:t>
      </w:r>
      <w:r>
        <w:t xml:space="preserve">community context </w:t>
      </w:r>
      <w:r w:rsidR="006D442E">
        <w:t xml:space="preserve">where support services can vary. </w:t>
      </w:r>
      <w:r w:rsidR="00070D22">
        <w:t>Collaboration with other professionals and delegation of authority are important aspects of scope of practice</w:t>
      </w:r>
      <w:r w:rsidR="004F1998">
        <w:t>.</w:t>
      </w:r>
      <w:r w:rsidR="004F1998" w:rsidRPr="004F1998">
        <w:t xml:space="preserve"> </w:t>
      </w:r>
    </w:p>
    <w:p w14:paraId="47D0268E" w14:textId="77777777" w:rsidR="004F1998" w:rsidRDefault="00D95E6B" w:rsidP="0067169F">
      <w:pPr>
        <w:pStyle w:val="Heading2"/>
      </w:pPr>
      <w:bookmarkStart w:id="56" w:name="_Toc42100172"/>
      <w:r>
        <w:t>C</w:t>
      </w:r>
      <w:r w:rsidR="004F1998" w:rsidRPr="004F1998">
        <w:t xml:space="preserve">ollaborative </w:t>
      </w:r>
      <w:r w:rsidR="00050003">
        <w:t>teams</w:t>
      </w:r>
      <w:bookmarkEnd w:id="56"/>
    </w:p>
    <w:p w14:paraId="17640023" w14:textId="77777777" w:rsidR="00050003" w:rsidRDefault="00050003" w:rsidP="00045C26">
      <w:pPr>
        <w:pStyle w:val="Bodytext"/>
      </w:pPr>
      <w:r>
        <w:t>Collaborative O&amp;M practice can involve</w:t>
      </w:r>
      <w:r w:rsidR="009C7259">
        <w:t>:</w:t>
      </w:r>
    </w:p>
    <w:p w14:paraId="7265FD6D" w14:textId="77777777" w:rsidR="009C7259" w:rsidRDefault="009C7259" w:rsidP="0067169F">
      <w:pPr>
        <w:pStyle w:val="ListParagraph"/>
        <w:numPr>
          <w:ilvl w:val="0"/>
          <w:numId w:val="14"/>
        </w:numPr>
      </w:pPr>
      <w:r>
        <w:t>i</w:t>
      </w:r>
      <w:r w:rsidR="00050003">
        <w:t>dentifying available professionals to help meet the client’s</w:t>
      </w:r>
      <w:r>
        <w:t xml:space="preserve"> unique needs</w:t>
      </w:r>
      <w:r w:rsidR="005F7DA8">
        <w:t>.</w:t>
      </w:r>
    </w:p>
    <w:p w14:paraId="4DB84013" w14:textId="77777777" w:rsidR="009C7259" w:rsidRDefault="00064DB1" w:rsidP="0067169F">
      <w:pPr>
        <w:pStyle w:val="ListParagraph"/>
        <w:numPr>
          <w:ilvl w:val="0"/>
          <w:numId w:val="14"/>
        </w:numPr>
      </w:pPr>
      <w:r>
        <w:t>clarifying</w:t>
      </w:r>
      <w:r w:rsidR="00D95E6B">
        <w:t xml:space="preserve"> who is responsible for case management</w:t>
      </w:r>
      <w:r w:rsidR="005F7DA8">
        <w:t>.</w:t>
      </w:r>
    </w:p>
    <w:p w14:paraId="307EEDF2" w14:textId="77777777" w:rsidR="00D95E6B" w:rsidRDefault="009C7259" w:rsidP="0067169F">
      <w:pPr>
        <w:pStyle w:val="ListParagraph"/>
        <w:numPr>
          <w:ilvl w:val="0"/>
          <w:numId w:val="14"/>
        </w:numPr>
      </w:pPr>
      <w:r>
        <w:t xml:space="preserve">determining </w:t>
      </w:r>
      <w:r w:rsidR="00955EC7">
        <w:t>requirements</w:t>
      </w:r>
      <w:r>
        <w:t xml:space="preserve"> and deadlines for reporting</w:t>
      </w:r>
      <w:r w:rsidR="005F7DA8">
        <w:t>.</w:t>
      </w:r>
    </w:p>
    <w:p w14:paraId="107B3CFA" w14:textId="77777777" w:rsidR="004F1998" w:rsidRPr="00D95E6B" w:rsidRDefault="00050003" w:rsidP="0067169F">
      <w:pPr>
        <w:pStyle w:val="ListParagraph"/>
        <w:numPr>
          <w:ilvl w:val="0"/>
          <w:numId w:val="10"/>
        </w:numPr>
      </w:pPr>
      <w:r w:rsidRPr="00D95E6B">
        <w:t>conduct</w:t>
      </w:r>
      <w:r>
        <w:t>ing joint</w:t>
      </w:r>
      <w:r w:rsidRPr="00D95E6B">
        <w:t xml:space="preserve"> assessments</w:t>
      </w:r>
      <w:r w:rsidR="003B1F2D">
        <w:t xml:space="preserve"> or</w:t>
      </w:r>
      <w:r>
        <w:t xml:space="preserve"> programs</w:t>
      </w:r>
      <w:r w:rsidR="005F7DA8">
        <w:t>.</w:t>
      </w:r>
    </w:p>
    <w:p w14:paraId="62DEF10D" w14:textId="77777777" w:rsidR="004F1998" w:rsidRDefault="00050003" w:rsidP="0067169F">
      <w:pPr>
        <w:pStyle w:val="ListParagraph"/>
        <w:numPr>
          <w:ilvl w:val="0"/>
          <w:numId w:val="10"/>
        </w:numPr>
      </w:pPr>
      <w:r>
        <w:lastRenderedPageBreak/>
        <w:t>participating in case conferences to review needs, goals and program planning</w:t>
      </w:r>
      <w:r w:rsidR="005F7DA8">
        <w:t>.</w:t>
      </w:r>
      <w:r>
        <w:t xml:space="preserve">  </w:t>
      </w:r>
    </w:p>
    <w:p w14:paraId="1DD25C56" w14:textId="77777777" w:rsidR="004140B1" w:rsidRDefault="007F002C" w:rsidP="0067169F">
      <w:pPr>
        <w:pStyle w:val="ListParagraph"/>
        <w:numPr>
          <w:ilvl w:val="0"/>
          <w:numId w:val="10"/>
        </w:numPr>
      </w:pPr>
      <w:r>
        <w:t>building the client’s self-advocacy skills to work with different professionals</w:t>
      </w:r>
      <w:r w:rsidR="005F7DA8">
        <w:t>.</w:t>
      </w:r>
    </w:p>
    <w:p w14:paraId="2A2D1633" w14:textId="77777777" w:rsidR="004F1998" w:rsidRPr="00D95E6B" w:rsidRDefault="007F002C" w:rsidP="0067169F">
      <w:pPr>
        <w:pStyle w:val="ListParagraph"/>
        <w:numPr>
          <w:ilvl w:val="0"/>
          <w:numId w:val="10"/>
        </w:numPr>
      </w:pPr>
      <w:r>
        <w:t>educating</w:t>
      </w:r>
      <w:r w:rsidR="00050003" w:rsidRPr="00D95E6B">
        <w:t xml:space="preserve"> other professionals </w:t>
      </w:r>
      <w:r>
        <w:t>about O&amp;M practice</w:t>
      </w:r>
      <w:r w:rsidR="005F7DA8">
        <w:t>.</w:t>
      </w:r>
    </w:p>
    <w:p w14:paraId="1EB97CE5" w14:textId="77777777" w:rsidR="007F002C" w:rsidRPr="007F002C" w:rsidRDefault="00050003" w:rsidP="0067169F">
      <w:pPr>
        <w:pStyle w:val="ListParagraph"/>
        <w:numPr>
          <w:ilvl w:val="0"/>
          <w:numId w:val="10"/>
        </w:numPr>
      </w:pPr>
      <w:r w:rsidRPr="00D95E6B">
        <w:t>learn</w:t>
      </w:r>
      <w:r>
        <w:t>ing</w:t>
      </w:r>
      <w:r w:rsidRPr="00D95E6B">
        <w:t xml:space="preserve"> from other professionals to enhance </w:t>
      </w:r>
      <w:r>
        <w:t>O&amp;M</w:t>
      </w:r>
      <w:r w:rsidRPr="00D95E6B">
        <w:t xml:space="preserve"> practice</w:t>
      </w:r>
      <w:r w:rsidR="005F7DA8">
        <w:t>.</w:t>
      </w:r>
    </w:p>
    <w:p w14:paraId="4CF912EA" w14:textId="77777777" w:rsidR="004F1998" w:rsidRPr="00D95E6B" w:rsidRDefault="00D95E6B" w:rsidP="0067169F">
      <w:pPr>
        <w:pStyle w:val="Heading2"/>
      </w:pPr>
      <w:bookmarkStart w:id="57" w:name="_Toc42100173"/>
      <w:r w:rsidRPr="00D95E6B">
        <w:t>Referral</w:t>
      </w:r>
      <w:bookmarkEnd w:id="57"/>
      <w:r w:rsidRPr="00D95E6B">
        <w:t xml:space="preserve"> </w:t>
      </w:r>
    </w:p>
    <w:p w14:paraId="0A577DEB" w14:textId="77777777" w:rsidR="003B2343" w:rsidRDefault="003B2343" w:rsidP="00045C26">
      <w:pPr>
        <w:pStyle w:val="Bodytext"/>
      </w:pPr>
      <w:r w:rsidRPr="00090CA0">
        <w:t xml:space="preserve">Referral involves </w:t>
      </w:r>
      <w:r w:rsidR="004F1998">
        <w:t>the O&amp;M Specialist</w:t>
      </w:r>
      <w:r w:rsidRPr="00090CA0">
        <w:t xml:space="preserve"> sending a client to another professional, with the client’s consent,</w:t>
      </w:r>
      <w:r w:rsidR="004F1998" w:rsidRPr="004F1998">
        <w:t xml:space="preserve"> </w:t>
      </w:r>
      <w:r w:rsidRPr="00090CA0">
        <w:t xml:space="preserve">to obtain </w:t>
      </w:r>
      <w:r w:rsidR="00D95E6B">
        <w:rPr>
          <w:lang w:val="en-US"/>
        </w:rPr>
        <w:t>a s</w:t>
      </w:r>
      <w:r w:rsidR="004F1998">
        <w:rPr>
          <w:lang w:val="en-US"/>
        </w:rPr>
        <w:t>econd opinion</w:t>
      </w:r>
      <w:r w:rsidR="00D95E6B">
        <w:rPr>
          <w:lang w:val="en-US"/>
        </w:rPr>
        <w:t>,</w:t>
      </w:r>
      <w:r w:rsidR="004F1998" w:rsidRPr="004F1998">
        <w:t xml:space="preserve"> </w:t>
      </w:r>
      <w:r w:rsidR="004F1998">
        <w:t xml:space="preserve">diagnosis, </w:t>
      </w:r>
      <w:r w:rsidR="004F1998" w:rsidRPr="00090CA0">
        <w:t>assessment</w:t>
      </w:r>
      <w:r w:rsidR="004F1998">
        <w:t>,</w:t>
      </w:r>
      <w:r w:rsidR="004F1998" w:rsidRPr="00090CA0">
        <w:t xml:space="preserve"> treatment</w:t>
      </w:r>
      <w:r w:rsidR="004F1998">
        <w:t xml:space="preserve">, or therapy. </w:t>
      </w:r>
      <w:r w:rsidRPr="00090CA0">
        <w:t xml:space="preserve">This means transferring responsibility </w:t>
      </w:r>
      <w:r w:rsidR="004F1998" w:rsidRPr="00090CA0">
        <w:t xml:space="preserve">for a time and particular purpose </w:t>
      </w:r>
      <w:r w:rsidRPr="00090CA0">
        <w:t xml:space="preserve">which is beyond the </w:t>
      </w:r>
      <w:r w:rsidR="00D95E6B">
        <w:t xml:space="preserve">O&amp;M </w:t>
      </w:r>
      <w:r w:rsidR="009C7259">
        <w:t>S</w:t>
      </w:r>
      <w:r w:rsidR="00D95E6B">
        <w:t>pecialist</w:t>
      </w:r>
      <w:r w:rsidR="009C7259">
        <w:t>’</w:t>
      </w:r>
      <w:r w:rsidR="00D95E6B">
        <w:t xml:space="preserve">s </w:t>
      </w:r>
      <w:r w:rsidRPr="00090CA0">
        <w:t>expertise</w:t>
      </w:r>
      <w:r>
        <w:t>,</w:t>
      </w:r>
      <w:r w:rsidRPr="00090CA0">
        <w:t xml:space="preserve"> scope of practice</w:t>
      </w:r>
      <w:r w:rsidR="004F1998">
        <w:t>,</w:t>
      </w:r>
      <w:r>
        <w:t xml:space="preserve"> availability</w:t>
      </w:r>
      <w:r w:rsidR="004F1998">
        <w:t xml:space="preserve"> or suitability</w:t>
      </w:r>
      <w:r w:rsidR="009C7259">
        <w:t>. Examples include referral to</w:t>
      </w:r>
      <w:r w:rsidR="00D3495A">
        <w:t>:</w:t>
      </w:r>
      <w:r w:rsidR="009C7259">
        <w:t xml:space="preserve"> </w:t>
      </w:r>
    </w:p>
    <w:p w14:paraId="59864ADB" w14:textId="77777777" w:rsidR="001C6865" w:rsidRDefault="00955EC7" w:rsidP="0067169F">
      <w:pPr>
        <w:pStyle w:val="ListParagraph"/>
        <w:numPr>
          <w:ilvl w:val="0"/>
          <w:numId w:val="15"/>
        </w:numPr>
      </w:pPr>
      <w:r>
        <w:t>a</w:t>
      </w:r>
      <w:r w:rsidR="009C7259">
        <w:t>n e</w:t>
      </w:r>
      <w:r w:rsidR="001C6865">
        <w:t xml:space="preserve">ye specialist for review of </w:t>
      </w:r>
      <w:r>
        <w:t>glasses and</w:t>
      </w:r>
      <w:r w:rsidR="009C7259">
        <w:t xml:space="preserve"> advice about low vision aids</w:t>
      </w:r>
      <w:r w:rsidR="005F7DA8">
        <w:t>.</w:t>
      </w:r>
    </w:p>
    <w:p w14:paraId="0FF28D07" w14:textId="77777777" w:rsidR="001C6865" w:rsidRDefault="00955EC7" w:rsidP="0067169F">
      <w:pPr>
        <w:pStyle w:val="ListParagraph"/>
        <w:numPr>
          <w:ilvl w:val="0"/>
          <w:numId w:val="15"/>
        </w:numPr>
      </w:pPr>
      <w:r>
        <w:t xml:space="preserve">a </w:t>
      </w:r>
      <w:r w:rsidR="009C7259">
        <w:t>p</w:t>
      </w:r>
      <w:r w:rsidR="001C6865">
        <w:t xml:space="preserve">hysiotherapist for </w:t>
      </w:r>
      <w:r w:rsidR="009C7259">
        <w:t xml:space="preserve">assessment of </w:t>
      </w:r>
      <w:r w:rsidR="001C6865">
        <w:t xml:space="preserve">balance </w:t>
      </w:r>
      <w:r w:rsidR="009C7259">
        <w:t>problems</w:t>
      </w:r>
      <w:r w:rsidR="005F7DA8">
        <w:t>.</w:t>
      </w:r>
    </w:p>
    <w:p w14:paraId="6718F45F" w14:textId="77777777" w:rsidR="00C61C6C" w:rsidRDefault="00955EC7" w:rsidP="0067169F">
      <w:pPr>
        <w:pStyle w:val="ListParagraph"/>
        <w:numPr>
          <w:ilvl w:val="0"/>
          <w:numId w:val="15"/>
        </w:numPr>
      </w:pPr>
      <w:r>
        <w:t>an occupational therapist to learn non-visual cooking skills</w:t>
      </w:r>
      <w:r w:rsidR="005F7DA8">
        <w:t>.</w:t>
      </w:r>
    </w:p>
    <w:p w14:paraId="4363CE82" w14:textId="77777777" w:rsidR="00955EC7" w:rsidRDefault="00955EC7" w:rsidP="0067169F">
      <w:pPr>
        <w:pStyle w:val="Heading2"/>
      </w:pPr>
      <w:bookmarkStart w:id="58" w:name="_Toc42100174"/>
      <w:r>
        <w:t>Handover</w:t>
      </w:r>
      <w:bookmarkEnd w:id="58"/>
    </w:p>
    <w:p w14:paraId="66F61D94" w14:textId="77777777" w:rsidR="00E83A24" w:rsidRDefault="00E83A24" w:rsidP="00045C26">
      <w:pPr>
        <w:pStyle w:val="Bodytext"/>
      </w:pPr>
      <w:r w:rsidRPr="007F002C">
        <w:t>Handover involves</w:t>
      </w:r>
      <w:r w:rsidRPr="00090CA0">
        <w:t xml:space="preserve"> </w:t>
      </w:r>
      <w:r w:rsidR="00D3495A">
        <w:t xml:space="preserve">ceasing contact with the client and </w:t>
      </w:r>
      <w:r w:rsidRPr="00090CA0">
        <w:t xml:space="preserve">transferring all responsibility to another </w:t>
      </w:r>
      <w:r w:rsidR="004140B1">
        <w:t>practitioner</w:t>
      </w:r>
      <w:r w:rsidR="00D3495A">
        <w:t xml:space="preserve">, such as when </w:t>
      </w:r>
      <w:r w:rsidR="004140B1">
        <w:t xml:space="preserve">the O&amp;M specialist is </w:t>
      </w:r>
      <w:r w:rsidR="00D3495A">
        <w:t>changing roles or leaving a job</w:t>
      </w:r>
      <w:r w:rsidR="007F002C">
        <w:t>, or the client’s needs would be better served by another professional.</w:t>
      </w:r>
    </w:p>
    <w:p w14:paraId="0AD99421" w14:textId="77777777" w:rsidR="00090CA0" w:rsidRPr="00090CA0" w:rsidRDefault="00090CA0" w:rsidP="0067169F">
      <w:pPr>
        <w:pStyle w:val="Heading2"/>
      </w:pPr>
      <w:bookmarkStart w:id="59" w:name="_Toc23146104"/>
      <w:bookmarkStart w:id="60" w:name="_Toc42100175"/>
      <w:r>
        <w:t xml:space="preserve">O&amp;M </w:t>
      </w:r>
      <w:bookmarkEnd w:id="59"/>
      <w:r w:rsidR="00714C5E">
        <w:t>support</w:t>
      </w:r>
      <w:r w:rsidR="003D7DB9">
        <w:t xml:space="preserve"> person</w:t>
      </w:r>
      <w:bookmarkEnd w:id="60"/>
    </w:p>
    <w:p w14:paraId="23FBF670" w14:textId="2A962C29" w:rsidR="00FC159E" w:rsidRPr="00D3495A" w:rsidRDefault="004140B1" w:rsidP="00045C26">
      <w:pPr>
        <w:pStyle w:val="Bodytext"/>
      </w:pPr>
      <w:r>
        <w:t xml:space="preserve">An O&amp;M support person </w:t>
      </w:r>
      <w:r w:rsidRPr="006C6F3E">
        <w:t xml:space="preserve">is a volunteer </w:t>
      </w:r>
      <w:r>
        <w:t xml:space="preserve">or seconded </w:t>
      </w:r>
      <w:r w:rsidRPr="006C6F3E">
        <w:t>role</w:t>
      </w:r>
      <w:r>
        <w:t>,</w:t>
      </w:r>
      <w:r w:rsidRPr="00D3495A">
        <w:t xml:space="preserve"> </w:t>
      </w:r>
      <w:r>
        <w:t xml:space="preserve">recruited and equipped by the O&amp;M Specialist to work within an appropriate </w:t>
      </w:r>
      <w:r w:rsidRPr="00D3495A">
        <w:t xml:space="preserve">governance framework. </w:t>
      </w:r>
      <w:r>
        <w:t xml:space="preserve">This might be </w:t>
      </w:r>
      <w:r w:rsidR="00D3495A">
        <w:t>a family member, friend, carer, support worker, teacher, allied health professional or other community member who has a stake in the progress and outcomes of a client’s O&amp;M program.</w:t>
      </w:r>
      <w:r w:rsidR="00D3495A" w:rsidRPr="00D3495A">
        <w:t xml:space="preserve"> </w:t>
      </w:r>
      <w:r w:rsidR="00D3495A">
        <w:t xml:space="preserve">This person </w:t>
      </w:r>
      <w:r w:rsidR="009869ED">
        <w:t>know</w:t>
      </w:r>
      <w:r w:rsidR="004360EC">
        <w:t>s</w:t>
      </w:r>
      <w:r w:rsidR="009869ED">
        <w:t xml:space="preserve"> the client’s circumstances and </w:t>
      </w:r>
      <w:r w:rsidR="004360EC">
        <w:t>is</w:t>
      </w:r>
      <w:r w:rsidR="00D52307">
        <w:t xml:space="preserve"> well</w:t>
      </w:r>
      <w:r w:rsidR="00D3495A">
        <w:t>-</w:t>
      </w:r>
      <w:r w:rsidR="00D52307">
        <w:t xml:space="preserve">situated to </w:t>
      </w:r>
      <w:r w:rsidR="00D32F50">
        <w:t xml:space="preserve">work towards </w:t>
      </w:r>
      <w:r w:rsidR="00090CA0">
        <w:t xml:space="preserve">the client’s </w:t>
      </w:r>
      <w:r>
        <w:t xml:space="preserve">O&amp;M </w:t>
      </w:r>
      <w:r w:rsidR="00090CA0">
        <w:t xml:space="preserve">program goals and reinforce </w:t>
      </w:r>
      <w:r w:rsidR="00E477C7">
        <w:t xml:space="preserve">the client’s </w:t>
      </w:r>
      <w:r w:rsidR="00090CA0">
        <w:t xml:space="preserve">O&amp;M skills </w:t>
      </w:r>
      <w:r w:rsidR="00D52307">
        <w:t>in everyday situations</w:t>
      </w:r>
      <w:r w:rsidR="00090CA0">
        <w:t>.</w:t>
      </w:r>
      <w:r w:rsidR="00E27E45">
        <w:t xml:space="preserve"> </w:t>
      </w:r>
      <w:r w:rsidR="00D52307" w:rsidRPr="00D3495A">
        <w:t>An O&amp;M support</w:t>
      </w:r>
      <w:r w:rsidR="00D3495A" w:rsidRPr="00D3495A">
        <w:t xml:space="preserve"> person </w:t>
      </w:r>
      <w:r w:rsidR="00D52307" w:rsidRPr="00D3495A">
        <w:t xml:space="preserve">can be </w:t>
      </w:r>
      <w:r w:rsidR="001E59D8" w:rsidRPr="00D3495A">
        <w:t>a</w:t>
      </w:r>
      <w:r w:rsidR="00090CA0" w:rsidRPr="00D3495A">
        <w:t>n affiliated</w:t>
      </w:r>
      <w:r w:rsidR="001E59D8" w:rsidRPr="00D3495A">
        <w:t xml:space="preserve"> member of OMAA but</w:t>
      </w:r>
      <w:r w:rsidR="00933061" w:rsidRPr="00D3495A">
        <w:t xml:space="preserve"> is not eligible to apply for COMS </w:t>
      </w:r>
      <w:r w:rsidR="00D52307" w:rsidRPr="00D3495A">
        <w:t xml:space="preserve">or become </w:t>
      </w:r>
      <w:r w:rsidR="004360EC" w:rsidRPr="00D3495A">
        <w:t>a</w:t>
      </w:r>
      <w:r w:rsidR="00D52307" w:rsidRPr="00D3495A">
        <w:t xml:space="preserve"> Registered O&amp;M Specialist</w:t>
      </w:r>
      <w:r w:rsidR="004360EC" w:rsidRPr="00D3495A">
        <w:t xml:space="preserve"> in Australasia</w:t>
      </w:r>
      <w:r w:rsidR="00D52307" w:rsidRPr="00D3495A">
        <w:t>.</w:t>
      </w:r>
    </w:p>
    <w:p w14:paraId="1429E029" w14:textId="77777777" w:rsidR="00090CA0" w:rsidRDefault="00090CA0" w:rsidP="0067169F">
      <w:pPr>
        <w:pStyle w:val="Heading2"/>
      </w:pPr>
      <w:bookmarkStart w:id="61" w:name="_Toc23146105"/>
      <w:bookmarkStart w:id="62" w:name="_Toc42100176"/>
      <w:r w:rsidRPr="00D3495A">
        <w:t xml:space="preserve">Student </w:t>
      </w:r>
      <w:r w:rsidR="00F87FA0" w:rsidRPr="00D3495A">
        <w:t>O&amp;M Specialist</w:t>
      </w:r>
      <w:bookmarkEnd w:id="61"/>
      <w:bookmarkEnd w:id="62"/>
      <w:r w:rsidR="00346261">
        <w:t xml:space="preserve"> </w:t>
      </w:r>
    </w:p>
    <w:p w14:paraId="25894496" w14:textId="77777777" w:rsidR="00933061" w:rsidRDefault="00BF4347" w:rsidP="00045C26">
      <w:pPr>
        <w:pStyle w:val="Bodytext"/>
      </w:pPr>
      <w:r>
        <w:t>A s</w:t>
      </w:r>
      <w:r w:rsidR="00090CA0">
        <w:t>tudent</w:t>
      </w:r>
      <w:r w:rsidR="009869ED">
        <w:t xml:space="preserve"> </w:t>
      </w:r>
      <w:r w:rsidR="00F87FA0">
        <w:t>O&amp;M Specialist</w:t>
      </w:r>
      <w:r w:rsidR="00090CA0">
        <w:t xml:space="preserve"> </w:t>
      </w:r>
      <w:r w:rsidR="00346261">
        <w:t>benefi</w:t>
      </w:r>
      <w:r w:rsidR="00090CA0">
        <w:t>t</w:t>
      </w:r>
      <w:r>
        <w:t>s</w:t>
      </w:r>
      <w:r w:rsidR="00346261">
        <w:t xml:space="preserve"> from initial observation of O&amp;M practice</w:t>
      </w:r>
      <w:r w:rsidR="009869ED">
        <w:t>,</w:t>
      </w:r>
      <w:r w:rsidR="00346261">
        <w:t xml:space="preserve"> </w:t>
      </w:r>
      <w:r w:rsidR="000E2AB1">
        <w:t xml:space="preserve">and </w:t>
      </w:r>
      <w:r w:rsidR="00346261">
        <w:t xml:space="preserve">direct engagement with clients </w:t>
      </w:r>
      <w:r w:rsidR="00E83A24">
        <w:t xml:space="preserve">and </w:t>
      </w:r>
      <w:r>
        <w:t xml:space="preserve">experienced </w:t>
      </w:r>
      <w:r w:rsidR="00F87FA0">
        <w:t>O&amp;M Specialist</w:t>
      </w:r>
      <w:r w:rsidR="00E83A24">
        <w:t xml:space="preserve">s </w:t>
      </w:r>
      <w:r w:rsidR="00346261">
        <w:t xml:space="preserve">to understand the functional implications of </w:t>
      </w:r>
      <w:r w:rsidR="006D02DC">
        <w:t xml:space="preserve">low </w:t>
      </w:r>
      <w:r w:rsidR="00346261">
        <w:t xml:space="preserve">vision </w:t>
      </w:r>
      <w:r w:rsidR="006D02DC">
        <w:t>or blindness</w:t>
      </w:r>
      <w:r w:rsidR="00346261">
        <w:t xml:space="preserve"> and the nature </w:t>
      </w:r>
      <w:r w:rsidR="00E83A24">
        <w:t xml:space="preserve">and scope </w:t>
      </w:r>
      <w:r w:rsidR="00346261">
        <w:t xml:space="preserve">of O&amp;M services. </w:t>
      </w:r>
      <w:r w:rsidR="00090CA0">
        <w:t>Students</w:t>
      </w:r>
      <w:r w:rsidR="00346261">
        <w:t xml:space="preserve"> </w:t>
      </w:r>
      <w:r w:rsidR="00FF11B7">
        <w:t>can</w:t>
      </w:r>
      <w:r w:rsidR="00E83A24">
        <w:t xml:space="preserve"> </w:t>
      </w:r>
      <w:r w:rsidR="00346261">
        <w:t>be delegated</w:t>
      </w:r>
      <w:r w:rsidR="00346261" w:rsidRPr="00346261">
        <w:t xml:space="preserve"> </w:t>
      </w:r>
      <w:r w:rsidR="00346261">
        <w:t>specific tasks or carry out defined elements of O&amp;M practice</w:t>
      </w:r>
      <w:r w:rsidR="007A7206">
        <w:t>,</w:t>
      </w:r>
      <w:r w:rsidR="00346261">
        <w:t xml:space="preserve"> initially under close supervision, then with greater autonomy as their own knowledge and skills develop.</w:t>
      </w:r>
    </w:p>
    <w:p w14:paraId="1E18F11B" w14:textId="3484F0EE" w:rsidR="00863813" w:rsidRPr="00565806" w:rsidRDefault="00F44412" w:rsidP="00045C26">
      <w:pPr>
        <w:pStyle w:val="Bodytext"/>
      </w:pPr>
      <w:r>
        <w:t xml:space="preserve">Registered </w:t>
      </w:r>
      <w:r w:rsidR="00F87FA0">
        <w:t>O&amp;M Specialist</w:t>
      </w:r>
      <w:r w:rsidR="00346261">
        <w:t>s</w:t>
      </w:r>
      <w:r>
        <w:t xml:space="preserve"> have an obligation to ensure that </w:t>
      </w:r>
      <w:r w:rsidR="00346261">
        <w:t xml:space="preserve">the practice of </w:t>
      </w:r>
      <w:r w:rsidR="00C9045C">
        <w:t xml:space="preserve">O&amp;M </w:t>
      </w:r>
      <w:r w:rsidR="004140B1">
        <w:t>support p</w:t>
      </w:r>
      <w:r w:rsidR="00FF11B7">
        <w:t>ersons</w:t>
      </w:r>
      <w:r w:rsidR="00346261">
        <w:t xml:space="preserve"> and </w:t>
      </w:r>
      <w:r w:rsidR="00090CA0">
        <w:t>students</w:t>
      </w:r>
      <w:r w:rsidR="00346261">
        <w:t xml:space="preserve"> under their supervision</w:t>
      </w:r>
      <w:r>
        <w:t xml:space="preserve"> complies with nationally legislated codes, </w:t>
      </w:r>
      <w:r w:rsidR="00346261">
        <w:t xml:space="preserve">professional </w:t>
      </w:r>
      <w:r>
        <w:t>standards</w:t>
      </w:r>
      <w:r w:rsidR="00562A13">
        <w:t>,</w:t>
      </w:r>
      <w:r>
        <w:t xml:space="preserve"> and practice guidelines </w:t>
      </w:r>
      <w:r w:rsidR="00090CA0">
        <w:t>so</w:t>
      </w:r>
      <w:r>
        <w:t xml:space="preserve"> </w:t>
      </w:r>
      <w:r w:rsidR="007A7206">
        <w:t>that clients and the public</w:t>
      </w:r>
      <w:r>
        <w:t xml:space="preserve"> receive safe and ethical services</w:t>
      </w:r>
      <w:r w:rsidR="00346261">
        <w:t>.</w:t>
      </w:r>
    </w:p>
    <w:p w14:paraId="3DE65EA4" w14:textId="77777777" w:rsidR="00863813" w:rsidRPr="00863813" w:rsidRDefault="00863813" w:rsidP="0067169F">
      <w:pPr>
        <w:pStyle w:val="Heading1"/>
      </w:pPr>
      <w:bookmarkStart w:id="63" w:name="_Toc23146106"/>
      <w:bookmarkStart w:id="64" w:name="_Toc42100177"/>
      <w:r w:rsidRPr="00863813">
        <w:lastRenderedPageBreak/>
        <w:t xml:space="preserve">Document </w:t>
      </w:r>
      <w:r w:rsidR="008D0D0F">
        <w:t>d</w:t>
      </w:r>
      <w:r w:rsidRPr="00863813">
        <w:t>evelopment</w:t>
      </w:r>
      <w:bookmarkEnd w:id="63"/>
      <w:r w:rsidR="007A2E75">
        <w:t xml:space="preserve"> and review</w:t>
      </w:r>
      <w:bookmarkEnd w:id="64"/>
    </w:p>
    <w:p w14:paraId="49C99E82" w14:textId="6A2F992A" w:rsidR="00986AE0" w:rsidRPr="00045C26" w:rsidRDefault="00863813" w:rsidP="00045C26">
      <w:pPr>
        <w:pStyle w:val="Bodytext"/>
      </w:pPr>
      <w:r w:rsidRPr="00045C26">
        <w:t xml:space="preserve">Grounded theory methodology was used to ensure that </w:t>
      </w:r>
      <w:bookmarkStart w:id="65" w:name="_Hlk23050674"/>
      <w:r w:rsidRPr="00045C26">
        <w:t>this O</w:t>
      </w:r>
      <w:r w:rsidR="00DE6972" w:rsidRPr="00045C26">
        <w:t>&amp;M</w:t>
      </w:r>
      <w:r w:rsidRPr="00045C26">
        <w:t xml:space="preserve"> Scope of Practice reflects </w:t>
      </w:r>
      <w:r w:rsidR="004140B1" w:rsidRPr="00045C26">
        <w:t xml:space="preserve">the views and </w:t>
      </w:r>
      <w:r w:rsidRPr="00045C26">
        <w:t>active professional practice</w:t>
      </w:r>
      <w:r w:rsidR="004140B1" w:rsidRPr="00045C26">
        <w:t xml:space="preserve"> of O&amp;M Specialists</w:t>
      </w:r>
      <w:r w:rsidRPr="00045C26">
        <w:t xml:space="preserve"> in Austral</w:t>
      </w:r>
      <w:r w:rsidR="004140B1" w:rsidRPr="00045C26">
        <w:t xml:space="preserve">ia and New Zealand. </w:t>
      </w:r>
      <w:r w:rsidR="005F0CD3" w:rsidRPr="00045C26">
        <w:t>I</w:t>
      </w:r>
      <w:r w:rsidR="004140B1" w:rsidRPr="00045C26">
        <w:t xml:space="preserve">nitial data collection </w:t>
      </w:r>
      <w:r w:rsidR="005F0CD3" w:rsidRPr="00045C26">
        <w:t xml:space="preserve">occurred </w:t>
      </w:r>
      <w:r w:rsidR="004140B1" w:rsidRPr="00045C26">
        <w:t xml:space="preserve">at </w:t>
      </w:r>
      <w:bookmarkEnd w:id="65"/>
      <w:r w:rsidRPr="00045C26">
        <w:t>the 6th Australasian O&amp;M Conference in Melbourne</w:t>
      </w:r>
      <w:r w:rsidR="004140B1" w:rsidRPr="00045C26">
        <w:t>,</w:t>
      </w:r>
      <w:r w:rsidRPr="00045C26">
        <w:t xml:space="preserve"> April 2018</w:t>
      </w:r>
      <w:r w:rsidR="005F0CD3" w:rsidRPr="00045C26">
        <w:t xml:space="preserve"> </w:t>
      </w:r>
      <w:r w:rsidR="00B42972" w:rsidRPr="00045C26">
        <w:t>(n=90)</w:t>
      </w:r>
      <w:r w:rsidR="00D456C0" w:rsidRPr="00045C26">
        <w:t>. A</w:t>
      </w:r>
      <w:r w:rsidR="004140B1" w:rsidRPr="00045C26">
        <w:t xml:space="preserve"> </w:t>
      </w:r>
      <w:r w:rsidR="004A10A5" w:rsidRPr="00045C26">
        <w:t xml:space="preserve">working group </w:t>
      </w:r>
      <w:r w:rsidR="00D456C0" w:rsidRPr="00045C26">
        <w:t xml:space="preserve">was </w:t>
      </w:r>
      <w:r w:rsidR="004140B1" w:rsidRPr="00045C26">
        <w:t xml:space="preserve">convened </w:t>
      </w:r>
      <w:r w:rsidR="00D456C0" w:rsidRPr="00045C26">
        <w:t xml:space="preserve">from volunteers at the conference, </w:t>
      </w:r>
      <w:r w:rsidR="004140B1" w:rsidRPr="00045C26">
        <w:t>to analyse data</w:t>
      </w:r>
      <w:r w:rsidR="00CE2CDE" w:rsidRPr="00045C26">
        <w:t xml:space="preserve"> via </w:t>
      </w:r>
      <w:r w:rsidR="00E27E45" w:rsidRPr="00045C26">
        <w:t xml:space="preserve">email and </w:t>
      </w:r>
      <w:r w:rsidR="00CE2CDE" w:rsidRPr="00045C26">
        <w:t>videoconference</w:t>
      </w:r>
      <w:r w:rsidR="004140B1" w:rsidRPr="00045C26">
        <w:t xml:space="preserve">. </w:t>
      </w:r>
      <w:r w:rsidR="00986AE0" w:rsidRPr="00045C26">
        <w:t>The</w:t>
      </w:r>
      <w:r w:rsidRPr="00045C26">
        <w:t xml:space="preserve"> Scope was drafted from the analysed data</w:t>
      </w:r>
      <w:r w:rsidR="00DE6972" w:rsidRPr="00045C26">
        <w:t xml:space="preserve">, </w:t>
      </w:r>
      <w:r w:rsidR="00986AE0" w:rsidRPr="00045C26">
        <w:t xml:space="preserve">with reference to </w:t>
      </w:r>
      <w:r w:rsidR="00565806" w:rsidRPr="00045C26">
        <w:t xml:space="preserve">relevant model </w:t>
      </w:r>
      <w:r w:rsidRPr="00045C26">
        <w:t>document</w:t>
      </w:r>
      <w:r w:rsidR="00986AE0" w:rsidRPr="00045C26">
        <w:t>s</w:t>
      </w:r>
      <w:r w:rsidR="00C91509" w:rsidRPr="00045C26">
        <w:t>[8, 24-28]</w:t>
      </w:r>
      <w:r w:rsidR="005F0CD3" w:rsidRPr="00045C26">
        <w:t xml:space="preserve"> and then </w:t>
      </w:r>
      <w:r w:rsidRPr="00045C26">
        <w:t xml:space="preserve">refined through several rounds of consultation with the </w:t>
      </w:r>
      <w:r w:rsidR="004A10A5" w:rsidRPr="00045C26">
        <w:t>working group</w:t>
      </w:r>
      <w:r w:rsidRPr="00045C26">
        <w:t xml:space="preserve">, </w:t>
      </w:r>
      <w:r w:rsidR="00986AE0" w:rsidRPr="00045C26">
        <w:t>the O</w:t>
      </w:r>
      <w:r w:rsidRPr="00045C26">
        <w:t xml:space="preserve">MAA </w:t>
      </w:r>
      <w:r w:rsidR="00FF11B7" w:rsidRPr="00045C26">
        <w:t>E</w:t>
      </w:r>
      <w:r w:rsidR="00986AE0" w:rsidRPr="00045C26">
        <w:t xml:space="preserve">xecutive, </w:t>
      </w:r>
      <w:r w:rsidR="00CE2CDE" w:rsidRPr="00045C26">
        <w:t xml:space="preserve">the OMAA Professional Standards Committee, </w:t>
      </w:r>
      <w:r w:rsidR="00986AE0" w:rsidRPr="00045C26">
        <w:t>OMAA members</w:t>
      </w:r>
      <w:r w:rsidRPr="00045C26">
        <w:t xml:space="preserve"> and industry leaders. </w:t>
      </w:r>
    </w:p>
    <w:p w14:paraId="56D2AE67" w14:textId="4AC5278C" w:rsidR="00E50566" w:rsidRDefault="009271A1" w:rsidP="00045C26">
      <w:pPr>
        <w:pStyle w:val="Bodytext"/>
      </w:pPr>
      <w:r w:rsidRPr="009271A1">
        <w:t>The</w:t>
      </w:r>
      <w:r>
        <w:t xml:space="preserve"> </w:t>
      </w:r>
      <w:r w:rsidR="004A10A5">
        <w:t>working group involved</w:t>
      </w:r>
      <w:r w:rsidR="00DA5308">
        <w:t>:</w:t>
      </w:r>
      <w:r w:rsidRPr="009271A1">
        <w:t xml:space="preserve"> </w:t>
      </w:r>
      <w:r>
        <w:t>Lil Deverell (lead author), Lisa Dillon (notetaker),</w:t>
      </w:r>
      <w:r w:rsidRPr="0027345D">
        <w:t xml:space="preserve"> </w:t>
      </w:r>
      <w:r>
        <w:t xml:space="preserve">Jeremy Hill, Brenda Harris, Karyn Willins, Roley Stuart, Cheryl Dimmock, </w:t>
      </w:r>
      <w:r w:rsidRPr="004D3374">
        <w:t>Luke Price, Amy</w:t>
      </w:r>
      <w:r>
        <w:t xml:space="preserve"> O'Reilly, Amanda Hale, Kerri Weaver, Michelle Sharples, Julia Budd</w:t>
      </w:r>
      <w:r w:rsidR="00FF11B7">
        <w:t xml:space="preserve">, </w:t>
      </w:r>
      <w:r>
        <w:t>Jade Chang</w:t>
      </w:r>
      <w:r w:rsidR="00D456C0">
        <w:t xml:space="preserve"> (</w:t>
      </w:r>
      <w:r w:rsidR="00D17330">
        <w:t xml:space="preserve">health </w:t>
      </w:r>
      <w:r w:rsidR="00D456C0">
        <w:t>economist)</w:t>
      </w:r>
      <w:r w:rsidR="00FF11B7">
        <w:t>,</w:t>
      </w:r>
      <w:r w:rsidR="00FF11B7" w:rsidRPr="00FF11B7">
        <w:t xml:space="preserve"> </w:t>
      </w:r>
      <w:r w:rsidR="00FF11B7">
        <w:t>Metaxia Tsoukatos, Errol Ingram, Nancy Higgins</w:t>
      </w:r>
      <w:r w:rsidR="008D5CBA">
        <w:t xml:space="preserve"> and </w:t>
      </w:r>
      <w:r w:rsidR="00FF11B7">
        <w:t>Sand</w:t>
      </w:r>
      <w:r w:rsidR="00D456C0">
        <w:t>ra</w:t>
      </w:r>
      <w:r w:rsidR="00FF11B7">
        <w:t xml:space="preserve"> Holmes</w:t>
      </w:r>
      <w:r w:rsidR="008D5CBA">
        <w:t xml:space="preserve">. </w:t>
      </w:r>
      <w:r w:rsidR="00D456C0">
        <w:t>Later d</w:t>
      </w:r>
      <w:r>
        <w:t xml:space="preserve">rafts were reviewed by Shelley Pannier, Tracey Spath, </w:t>
      </w:r>
      <w:r w:rsidR="00FF11B7">
        <w:t xml:space="preserve">Maree Ingram, </w:t>
      </w:r>
      <w:r w:rsidR="00D456C0">
        <w:t xml:space="preserve">Kim Pilic, </w:t>
      </w:r>
      <w:r>
        <w:t>Ella Pe</w:t>
      </w:r>
      <w:bookmarkStart w:id="66" w:name="_Toc23146107"/>
      <w:bookmarkStart w:id="67" w:name="_Toc22547310"/>
      <w:r w:rsidR="00E50566">
        <w:t xml:space="preserve">aty, </w:t>
      </w:r>
      <w:r w:rsidR="00FF11B7">
        <w:t xml:space="preserve">Paul Garwood, </w:t>
      </w:r>
      <w:r w:rsidR="00D456C0">
        <w:t xml:space="preserve">Shiree Arrian, </w:t>
      </w:r>
      <w:r w:rsidR="00464EAF">
        <w:t xml:space="preserve">paediatric </w:t>
      </w:r>
      <w:r w:rsidR="00D456C0">
        <w:t>O</w:t>
      </w:r>
      <w:r w:rsidR="00D456C0" w:rsidRPr="00C91509">
        <w:t xml:space="preserve">&amp;M Specialists at BLENNZ </w:t>
      </w:r>
      <w:r w:rsidR="00464EAF" w:rsidRPr="00C91509">
        <w:t>(</w:t>
      </w:r>
      <w:r w:rsidR="00D456C0" w:rsidRPr="00C91509">
        <w:t>New Zealand</w:t>
      </w:r>
      <w:r w:rsidR="00464EAF" w:rsidRPr="00C91509">
        <w:t>)</w:t>
      </w:r>
      <w:r w:rsidR="00D456C0" w:rsidRPr="00C91509">
        <w:t xml:space="preserve">, </w:t>
      </w:r>
      <w:r w:rsidR="008D5CBA" w:rsidRPr="00C91509">
        <w:t xml:space="preserve">and </w:t>
      </w:r>
      <w:r w:rsidR="00D456C0" w:rsidRPr="00C91509">
        <w:t>Frances Gentle (special educator</w:t>
      </w:r>
      <w:r w:rsidR="00DA5308" w:rsidRPr="00C91509">
        <w:t xml:space="preserve"> and South Pacific specialist</w:t>
      </w:r>
      <w:r w:rsidR="00D456C0" w:rsidRPr="00C91509">
        <w:t>)</w:t>
      </w:r>
      <w:r w:rsidR="008D5CBA" w:rsidRPr="00C91509">
        <w:t>.</w:t>
      </w:r>
      <w:r w:rsidR="00D456C0" w:rsidRPr="00C91509">
        <w:t xml:space="preserve"> GDMI</w:t>
      </w:r>
      <w:r w:rsidR="008D5CBA" w:rsidRPr="00C91509">
        <w:t xml:space="preserve"> collaborators included</w:t>
      </w:r>
      <w:r w:rsidR="00D90BF5" w:rsidRPr="00C91509">
        <w:t xml:space="preserve"> Paul Adrian,</w:t>
      </w:r>
      <w:r w:rsidR="004D5E24" w:rsidRPr="00C91509">
        <w:t xml:space="preserve"> Jane Bradley,</w:t>
      </w:r>
      <w:r w:rsidR="00DB1D11" w:rsidRPr="00C91509">
        <w:t xml:space="preserve"> Eve </w:t>
      </w:r>
      <w:proofErr w:type="spellStart"/>
      <w:r w:rsidR="00DB1D11" w:rsidRPr="00C91509">
        <w:t>Chittenden</w:t>
      </w:r>
      <w:proofErr w:type="spellEnd"/>
      <w:r w:rsidR="00DB1D11" w:rsidRPr="00C91509">
        <w:t xml:space="preserve">, Alli Fagan, </w:t>
      </w:r>
      <w:r w:rsidR="008D5CBA" w:rsidRPr="00C91509">
        <w:t xml:space="preserve">Anna Gigliotti-Skret, </w:t>
      </w:r>
      <w:r w:rsidR="00506E04" w:rsidRPr="00C91509">
        <w:t xml:space="preserve">Greer Gerson, </w:t>
      </w:r>
      <w:r w:rsidR="00DB1D11" w:rsidRPr="00C91509">
        <w:t xml:space="preserve">Marc Gillard, Lindy Hennekam, Marc Lyell, </w:t>
      </w:r>
      <w:r w:rsidR="00506E04" w:rsidRPr="00C91509">
        <w:t>Graeme Mitchell,</w:t>
      </w:r>
      <w:r w:rsidR="00DB1D11" w:rsidRPr="00C91509">
        <w:t xml:space="preserve"> Jessica Nelipovich</w:t>
      </w:r>
      <w:r w:rsidR="00355665">
        <w:t xml:space="preserve">, </w:t>
      </w:r>
      <w:r w:rsidR="00506E04" w:rsidRPr="00C91509">
        <w:t>Michael Poynting,</w:t>
      </w:r>
      <w:r w:rsidR="00DB1D11" w:rsidRPr="00C91509">
        <w:t xml:space="preserve"> Kim Ryan and </w:t>
      </w:r>
      <w:r w:rsidR="00506E04" w:rsidRPr="00C91509">
        <w:t>Kerrie Suffolk</w:t>
      </w:r>
      <w:r w:rsidR="00DB1D11" w:rsidRPr="00C91509">
        <w:t>.</w:t>
      </w:r>
    </w:p>
    <w:p w14:paraId="6B7982B4" w14:textId="22FCD485" w:rsidR="000712B7" w:rsidRDefault="00464EAF" w:rsidP="00045C26">
      <w:pPr>
        <w:pStyle w:val="Bodytext"/>
      </w:pPr>
      <w:r>
        <w:t>The</w:t>
      </w:r>
      <w:r w:rsidR="00CE2CDE">
        <w:t xml:space="preserve"> </w:t>
      </w:r>
      <w:r>
        <w:t>O&amp;M Scope of Practice</w:t>
      </w:r>
      <w:r w:rsidR="00CE2CDE">
        <w:t xml:space="preserve"> was </w:t>
      </w:r>
      <w:r w:rsidR="00D456C0">
        <w:t xml:space="preserve">finalised by </w:t>
      </w:r>
      <w:r w:rsidR="004A10A5">
        <w:t>the working group, approved by the OMAA Professional Standards Committee</w:t>
      </w:r>
      <w:r w:rsidR="00E27E45">
        <w:t>,</w:t>
      </w:r>
      <w:r w:rsidR="00D456C0">
        <w:t xml:space="preserve"> and then </w:t>
      </w:r>
      <w:r w:rsidR="00E27E45">
        <w:t xml:space="preserve">formally </w:t>
      </w:r>
      <w:r w:rsidR="00CE2CDE">
        <w:t xml:space="preserve">ratified by the OMAA Executive on </w:t>
      </w:r>
      <w:r w:rsidR="00946B54">
        <w:t>21 May 2020.</w:t>
      </w:r>
      <w:r w:rsidR="00CE2CDE">
        <w:t xml:space="preserve"> </w:t>
      </w:r>
      <w:r>
        <w:t>The document</w:t>
      </w:r>
      <w:r w:rsidR="00CE2CDE">
        <w:t xml:space="preserve"> </w:t>
      </w:r>
      <w:r w:rsidR="00CE2CDE" w:rsidRPr="00045C26">
        <w:t>will</w:t>
      </w:r>
      <w:r w:rsidR="00CE2CDE">
        <w:t xml:space="preserve"> be </w:t>
      </w:r>
      <w:r w:rsidR="00CE2CDE" w:rsidRPr="00CE2CDE">
        <w:t>reviewed</w:t>
      </w:r>
      <w:r w:rsidR="007A2E75" w:rsidRPr="00CE2CDE">
        <w:t xml:space="preserve"> annually by the </w:t>
      </w:r>
      <w:r w:rsidR="00CE2CDE" w:rsidRPr="00CE2CDE">
        <w:t>OMAA P</w:t>
      </w:r>
      <w:r w:rsidR="007A2E75" w:rsidRPr="00CE2CDE">
        <w:t xml:space="preserve">rofessional </w:t>
      </w:r>
      <w:r w:rsidR="00CE2CDE" w:rsidRPr="00CE2CDE">
        <w:t>S</w:t>
      </w:r>
      <w:r w:rsidR="007A2E75" w:rsidRPr="00CE2CDE">
        <w:t xml:space="preserve">tandards </w:t>
      </w:r>
      <w:r w:rsidR="00CE2CDE" w:rsidRPr="00CE2CDE">
        <w:t>C</w:t>
      </w:r>
      <w:r w:rsidR="007A2E75" w:rsidRPr="00CE2CDE">
        <w:t xml:space="preserve">ommittee </w:t>
      </w:r>
      <w:r w:rsidR="004A10A5">
        <w:t xml:space="preserve">to </w:t>
      </w:r>
      <w:r w:rsidR="00E27E45">
        <w:t xml:space="preserve">ensure it </w:t>
      </w:r>
      <w:r w:rsidR="00B2445D">
        <w:t>reflect</w:t>
      </w:r>
      <w:r w:rsidR="00E27E45">
        <w:t>s</w:t>
      </w:r>
      <w:r w:rsidR="00CE2CDE" w:rsidRPr="00CE2CDE">
        <w:t xml:space="preserve"> current professional practice</w:t>
      </w:r>
      <w:r>
        <w:t>.</w:t>
      </w:r>
    </w:p>
    <w:p w14:paraId="2F9812B3" w14:textId="77777777" w:rsidR="00903C97" w:rsidRPr="00293F12" w:rsidRDefault="00D27BFE" w:rsidP="0067169F">
      <w:pPr>
        <w:pStyle w:val="Heading1"/>
      </w:pPr>
      <w:bookmarkStart w:id="68" w:name="_Toc42100178"/>
      <w:r w:rsidRPr="00293F12">
        <w:t>References</w:t>
      </w:r>
      <w:bookmarkEnd w:id="66"/>
      <w:bookmarkEnd w:id="68"/>
      <w:r w:rsidR="00A03515" w:rsidRPr="00293F12">
        <w:t xml:space="preserve"> </w:t>
      </w:r>
      <w:bookmarkEnd w:id="67"/>
    </w:p>
    <w:p w14:paraId="18ACD98B" w14:textId="77777777" w:rsidR="00D16745" w:rsidRPr="00045C26" w:rsidRDefault="00D16745" w:rsidP="00045C26">
      <w:pPr>
        <w:pStyle w:val="Bodytext"/>
        <w:ind w:left="426" w:hanging="426"/>
        <w:rPr>
          <w:szCs w:val="22"/>
        </w:rPr>
      </w:pPr>
      <w:r w:rsidRPr="00045C26">
        <w:rPr>
          <w:szCs w:val="22"/>
        </w:rPr>
        <w:t>1.</w:t>
      </w:r>
      <w:r w:rsidRPr="00045C26">
        <w:rPr>
          <w:szCs w:val="22"/>
        </w:rPr>
        <w:tab/>
        <w:t xml:space="preserve">Deverell, L. and B. Scott, </w:t>
      </w:r>
      <w:r w:rsidRPr="00045C26">
        <w:rPr>
          <w:i/>
          <w:szCs w:val="22"/>
        </w:rPr>
        <w:t>Orientation and mobility in Australia and New Zealand: Situational analysis and census.</w:t>
      </w:r>
      <w:r w:rsidRPr="00045C26">
        <w:rPr>
          <w:szCs w:val="22"/>
        </w:rPr>
        <w:t xml:space="preserve"> Journal of Visual Impairment &amp; Blindness, 2014. </w:t>
      </w:r>
      <w:r w:rsidRPr="00045C26">
        <w:rPr>
          <w:b/>
          <w:szCs w:val="22"/>
        </w:rPr>
        <w:t>108</w:t>
      </w:r>
      <w:r w:rsidRPr="00045C26">
        <w:rPr>
          <w:szCs w:val="22"/>
        </w:rPr>
        <w:t>(1): p. 77-82.</w:t>
      </w:r>
    </w:p>
    <w:p w14:paraId="1C3348F5" w14:textId="77777777" w:rsidR="00D16745" w:rsidRPr="00045C26" w:rsidRDefault="00D16745" w:rsidP="00045C26">
      <w:pPr>
        <w:pStyle w:val="Bodytext"/>
        <w:ind w:left="426" w:hanging="426"/>
        <w:rPr>
          <w:szCs w:val="22"/>
        </w:rPr>
      </w:pPr>
      <w:r w:rsidRPr="00045C26">
        <w:rPr>
          <w:szCs w:val="22"/>
        </w:rPr>
        <w:t>2.</w:t>
      </w:r>
      <w:r w:rsidRPr="00045C26">
        <w:rPr>
          <w:szCs w:val="22"/>
        </w:rPr>
        <w:tab/>
        <w:t>Scott, R.A., The making of blind men: A study of adult socialization. 1969, New York: Russell Sage.</w:t>
      </w:r>
    </w:p>
    <w:p w14:paraId="0B5F7D2B" w14:textId="77777777" w:rsidR="00D16745" w:rsidRPr="00045C26" w:rsidRDefault="00D16745" w:rsidP="00045C26">
      <w:pPr>
        <w:pStyle w:val="Bodytext"/>
        <w:ind w:left="426" w:hanging="426"/>
        <w:rPr>
          <w:szCs w:val="22"/>
        </w:rPr>
      </w:pPr>
      <w:r w:rsidRPr="00045C26">
        <w:rPr>
          <w:szCs w:val="22"/>
        </w:rPr>
        <w:t>3.</w:t>
      </w:r>
      <w:r w:rsidRPr="00045C26">
        <w:rPr>
          <w:szCs w:val="22"/>
        </w:rPr>
        <w:tab/>
        <w:t xml:space="preserve">Ah Tong, B., et al., </w:t>
      </w:r>
      <w:r w:rsidRPr="00045C26">
        <w:rPr>
          <w:i/>
          <w:szCs w:val="22"/>
        </w:rPr>
        <w:t>A snapshot of blindness and low vision services in Australia</w:t>
      </w:r>
      <w:r w:rsidRPr="00045C26">
        <w:rPr>
          <w:szCs w:val="22"/>
        </w:rPr>
        <w:t>. 2015, Vision 2020 Australia, National Disability Services, Australian Blindness Forum: Sydney, Australia.</w:t>
      </w:r>
    </w:p>
    <w:p w14:paraId="22D331C1" w14:textId="77777777" w:rsidR="00D16745" w:rsidRPr="00045C26" w:rsidRDefault="00D16745" w:rsidP="00045C26">
      <w:pPr>
        <w:pStyle w:val="Bodytext"/>
        <w:ind w:left="426" w:hanging="426"/>
        <w:rPr>
          <w:szCs w:val="22"/>
        </w:rPr>
      </w:pPr>
      <w:r w:rsidRPr="00045C26">
        <w:rPr>
          <w:szCs w:val="22"/>
        </w:rPr>
        <w:t>4.</w:t>
      </w:r>
      <w:r w:rsidRPr="00045C26">
        <w:rPr>
          <w:szCs w:val="22"/>
        </w:rPr>
        <w:tab/>
        <w:t xml:space="preserve">Finger, R.P., et al., </w:t>
      </w:r>
      <w:r w:rsidRPr="00045C26">
        <w:rPr>
          <w:i/>
          <w:szCs w:val="22"/>
        </w:rPr>
        <w:t>Developing a very low vision orientation and mobility test battery (O&amp;M-VLV).</w:t>
      </w:r>
      <w:r w:rsidRPr="00045C26">
        <w:rPr>
          <w:szCs w:val="22"/>
        </w:rPr>
        <w:t xml:space="preserve"> Optometry and Vision Science, 2016. </w:t>
      </w:r>
      <w:r w:rsidRPr="00045C26">
        <w:rPr>
          <w:b/>
          <w:szCs w:val="22"/>
        </w:rPr>
        <w:t>93</w:t>
      </w:r>
      <w:r w:rsidRPr="00045C26">
        <w:rPr>
          <w:szCs w:val="22"/>
        </w:rPr>
        <w:t>(9): p. 1127-36.</w:t>
      </w:r>
    </w:p>
    <w:p w14:paraId="24DF768B" w14:textId="77777777" w:rsidR="00D16745" w:rsidRPr="00045C26" w:rsidRDefault="00D16745" w:rsidP="00045C26">
      <w:pPr>
        <w:pStyle w:val="Bodytext"/>
        <w:ind w:left="426" w:hanging="426"/>
        <w:rPr>
          <w:szCs w:val="22"/>
        </w:rPr>
      </w:pPr>
      <w:r w:rsidRPr="00045C26">
        <w:rPr>
          <w:szCs w:val="22"/>
        </w:rPr>
        <w:t>5.</w:t>
      </w:r>
      <w:r w:rsidRPr="00045C26">
        <w:rPr>
          <w:szCs w:val="22"/>
        </w:rPr>
        <w:tab/>
        <w:t xml:space="preserve">Deverell, L., et al., Measuring the benefits of guide dog mobility with the Orientation and Mobility Outcomes (OMO) tool. Anthrozoos, 2019. </w:t>
      </w:r>
      <w:r w:rsidRPr="00045C26">
        <w:rPr>
          <w:b/>
          <w:szCs w:val="22"/>
        </w:rPr>
        <w:t>32</w:t>
      </w:r>
      <w:r w:rsidRPr="00045C26">
        <w:rPr>
          <w:szCs w:val="22"/>
        </w:rPr>
        <w:t>(6): p. 741-755.</w:t>
      </w:r>
    </w:p>
    <w:p w14:paraId="6D991277" w14:textId="459458F2" w:rsidR="00D16745" w:rsidRPr="00045C26" w:rsidRDefault="00D16745" w:rsidP="00045C26">
      <w:pPr>
        <w:pStyle w:val="Bodytext"/>
        <w:ind w:left="426" w:hanging="426"/>
        <w:rPr>
          <w:szCs w:val="22"/>
        </w:rPr>
      </w:pPr>
      <w:r w:rsidRPr="00045C26">
        <w:rPr>
          <w:szCs w:val="22"/>
        </w:rPr>
        <w:t>6.</w:t>
      </w:r>
      <w:r w:rsidRPr="00045C26">
        <w:rPr>
          <w:szCs w:val="22"/>
        </w:rPr>
        <w:tab/>
        <w:t xml:space="preserve">United Nations. </w:t>
      </w:r>
      <w:r w:rsidRPr="00045C26">
        <w:rPr>
          <w:i/>
          <w:szCs w:val="22"/>
        </w:rPr>
        <w:t>Convention on the Rights of Persons with Disabilties (CRPD)</w:t>
      </w:r>
      <w:r w:rsidRPr="00045C26">
        <w:rPr>
          <w:szCs w:val="22"/>
        </w:rPr>
        <w:t xml:space="preserve">. 2006; </w:t>
      </w:r>
      <w:hyperlink r:id="rId16" w:history="1">
        <w:r w:rsidRPr="00045C26">
          <w:rPr>
            <w:rStyle w:val="Hyperlink"/>
            <w:szCs w:val="22"/>
          </w:rPr>
          <w:t>www.un.org/development/desa/disabilities/convention-on-the-rights-of-persons-with-disabilities.html</w:t>
        </w:r>
      </w:hyperlink>
      <w:r w:rsidRPr="00045C26">
        <w:rPr>
          <w:szCs w:val="22"/>
        </w:rPr>
        <w:t>.</w:t>
      </w:r>
    </w:p>
    <w:p w14:paraId="7BB94259" w14:textId="67250797" w:rsidR="00D16745" w:rsidRPr="00045C26" w:rsidRDefault="00D16745" w:rsidP="00045C26">
      <w:pPr>
        <w:pStyle w:val="Bodytext"/>
        <w:ind w:left="426" w:hanging="426"/>
        <w:rPr>
          <w:szCs w:val="22"/>
        </w:rPr>
      </w:pPr>
      <w:r w:rsidRPr="00045C26">
        <w:rPr>
          <w:szCs w:val="22"/>
        </w:rPr>
        <w:t>7.</w:t>
      </w:r>
      <w:r w:rsidRPr="00045C26">
        <w:rPr>
          <w:szCs w:val="22"/>
        </w:rPr>
        <w:tab/>
        <w:t xml:space="preserve">UNICEF. </w:t>
      </w:r>
      <w:r w:rsidRPr="00045C26">
        <w:rPr>
          <w:i/>
          <w:szCs w:val="22"/>
        </w:rPr>
        <w:t>Convention on the rights of the child</w:t>
      </w:r>
      <w:r w:rsidRPr="00045C26">
        <w:rPr>
          <w:szCs w:val="22"/>
        </w:rPr>
        <w:t xml:space="preserve">. 1990; </w:t>
      </w:r>
      <w:hyperlink r:id="rId17" w:history="1">
        <w:r w:rsidRPr="00045C26">
          <w:rPr>
            <w:rStyle w:val="Hyperlink"/>
            <w:szCs w:val="22"/>
          </w:rPr>
          <w:t>www.unicef.org/child-rights-convention</w:t>
        </w:r>
      </w:hyperlink>
      <w:r w:rsidRPr="00045C26">
        <w:rPr>
          <w:szCs w:val="22"/>
        </w:rPr>
        <w:t xml:space="preserve"> </w:t>
      </w:r>
    </w:p>
    <w:p w14:paraId="30F06F0D" w14:textId="12A1173B" w:rsidR="00D16745" w:rsidRPr="00045C26" w:rsidRDefault="00D16745" w:rsidP="00045C26">
      <w:pPr>
        <w:pStyle w:val="Bodytext"/>
        <w:ind w:left="426" w:hanging="426"/>
        <w:rPr>
          <w:szCs w:val="22"/>
        </w:rPr>
      </w:pPr>
      <w:r w:rsidRPr="00045C26">
        <w:rPr>
          <w:szCs w:val="22"/>
        </w:rPr>
        <w:lastRenderedPageBreak/>
        <w:t>8.</w:t>
      </w:r>
      <w:r w:rsidRPr="00045C26">
        <w:rPr>
          <w:szCs w:val="22"/>
        </w:rPr>
        <w:tab/>
        <w:t xml:space="preserve">Academy for Certification of Vision Rehabilitation and Education Professionals. </w:t>
      </w:r>
      <w:r w:rsidRPr="00045C26">
        <w:rPr>
          <w:i/>
          <w:szCs w:val="22"/>
        </w:rPr>
        <w:t xml:space="preserve">Orientation and mobility certification handbook </w:t>
      </w:r>
      <w:r w:rsidRPr="00045C26">
        <w:rPr>
          <w:szCs w:val="22"/>
        </w:rPr>
        <w:t xml:space="preserve">2014; </w:t>
      </w:r>
      <w:hyperlink r:id="rId18" w:history="1">
        <w:r w:rsidRPr="00045C26">
          <w:rPr>
            <w:rStyle w:val="Hyperlink"/>
            <w:szCs w:val="22"/>
          </w:rPr>
          <w:t>www.acvrep.org/certifications/coms</w:t>
        </w:r>
      </w:hyperlink>
      <w:r w:rsidRPr="00045C26">
        <w:rPr>
          <w:szCs w:val="22"/>
        </w:rPr>
        <w:t>.</w:t>
      </w:r>
    </w:p>
    <w:p w14:paraId="5F3A435E" w14:textId="77777777" w:rsidR="00D16745" w:rsidRPr="00045C26" w:rsidRDefault="00D16745" w:rsidP="00045C26">
      <w:pPr>
        <w:pStyle w:val="Bodytext"/>
        <w:ind w:left="426" w:hanging="426"/>
        <w:rPr>
          <w:szCs w:val="22"/>
        </w:rPr>
      </w:pPr>
      <w:r w:rsidRPr="00045C26">
        <w:rPr>
          <w:szCs w:val="22"/>
        </w:rPr>
        <w:t>9.</w:t>
      </w:r>
      <w:r w:rsidRPr="00045C26">
        <w:rPr>
          <w:szCs w:val="22"/>
        </w:rPr>
        <w:tab/>
        <w:t>Avery, S., Culture is inclusion: A narrative of Aboriginal and Torres Strait Islander people with disability. 2018, Sydney, Australia: First Peoples Disability Network (Australia).</w:t>
      </w:r>
    </w:p>
    <w:p w14:paraId="0FA663FD" w14:textId="4904F113" w:rsidR="00D16745" w:rsidRPr="00045C26" w:rsidRDefault="00D16745" w:rsidP="00045C26">
      <w:pPr>
        <w:pStyle w:val="Bodytext"/>
        <w:ind w:left="426" w:hanging="426"/>
        <w:rPr>
          <w:szCs w:val="22"/>
        </w:rPr>
      </w:pPr>
      <w:r w:rsidRPr="00045C26">
        <w:rPr>
          <w:szCs w:val="22"/>
        </w:rPr>
        <w:t>10.</w:t>
      </w:r>
      <w:r w:rsidRPr="00045C26">
        <w:rPr>
          <w:szCs w:val="22"/>
        </w:rPr>
        <w:tab/>
        <w:t xml:space="preserve">Australian Government. </w:t>
      </w:r>
      <w:r w:rsidRPr="00045C26">
        <w:rPr>
          <w:i/>
          <w:szCs w:val="22"/>
        </w:rPr>
        <w:t>Australian Child Protection Legislation</w:t>
      </w:r>
      <w:r w:rsidRPr="00045C26">
        <w:rPr>
          <w:szCs w:val="22"/>
        </w:rPr>
        <w:t xml:space="preserve">. 2019; </w:t>
      </w:r>
      <w:hyperlink r:id="rId19" w:history="1">
        <w:r w:rsidRPr="00045C26">
          <w:rPr>
            <w:rStyle w:val="Hyperlink"/>
            <w:szCs w:val="22"/>
          </w:rPr>
          <w:t>https://aifs.gov.au/cfca/publications/australian-child-protection-legislation</w:t>
        </w:r>
      </w:hyperlink>
      <w:r w:rsidRPr="00045C26">
        <w:rPr>
          <w:szCs w:val="22"/>
        </w:rPr>
        <w:t>.</w:t>
      </w:r>
    </w:p>
    <w:p w14:paraId="66A767FA" w14:textId="77777777" w:rsidR="00D16745" w:rsidRPr="00045C26" w:rsidRDefault="00D16745" w:rsidP="00045C26">
      <w:pPr>
        <w:pStyle w:val="Bodytext"/>
        <w:ind w:left="426" w:hanging="426"/>
        <w:rPr>
          <w:szCs w:val="22"/>
        </w:rPr>
      </w:pPr>
      <w:r w:rsidRPr="00045C26">
        <w:rPr>
          <w:szCs w:val="22"/>
        </w:rPr>
        <w:t>11.</w:t>
      </w:r>
      <w:r w:rsidRPr="00045C26">
        <w:rPr>
          <w:szCs w:val="22"/>
        </w:rPr>
        <w:tab/>
        <w:t xml:space="preserve">Australian Government, </w:t>
      </w:r>
      <w:r w:rsidRPr="00045C26">
        <w:rPr>
          <w:i/>
          <w:szCs w:val="22"/>
        </w:rPr>
        <w:t>Disability Discrimination Act 1992,</w:t>
      </w:r>
      <w:r w:rsidRPr="00045C26">
        <w:rPr>
          <w:szCs w:val="22"/>
        </w:rPr>
        <w:t>, H.R.a.E.O. Commission, Editor. 1992, Attorney-General's Department: Canberra, ACT.</w:t>
      </w:r>
    </w:p>
    <w:p w14:paraId="031A96C5" w14:textId="77777777" w:rsidR="00D16745" w:rsidRPr="00045C26" w:rsidRDefault="00D16745" w:rsidP="00045C26">
      <w:pPr>
        <w:pStyle w:val="Bodytext"/>
        <w:ind w:left="426" w:hanging="426"/>
        <w:rPr>
          <w:szCs w:val="22"/>
        </w:rPr>
      </w:pPr>
      <w:r w:rsidRPr="00045C26">
        <w:rPr>
          <w:szCs w:val="22"/>
        </w:rPr>
        <w:t>12.</w:t>
      </w:r>
      <w:r w:rsidRPr="00045C26">
        <w:rPr>
          <w:szCs w:val="22"/>
        </w:rPr>
        <w:tab/>
        <w:t>Australian Government, Disability Standards for Education 2005. 2005.</w:t>
      </w:r>
    </w:p>
    <w:p w14:paraId="38E06E04" w14:textId="5DA13A0C" w:rsidR="00D16745" w:rsidRPr="00045C26" w:rsidRDefault="00D16745" w:rsidP="00045C26">
      <w:pPr>
        <w:pStyle w:val="Bodytext"/>
        <w:ind w:left="426" w:hanging="426"/>
        <w:rPr>
          <w:szCs w:val="22"/>
        </w:rPr>
      </w:pPr>
      <w:r w:rsidRPr="00045C26">
        <w:rPr>
          <w:szCs w:val="22"/>
        </w:rPr>
        <w:t>13.</w:t>
      </w:r>
      <w:r w:rsidRPr="00045C26">
        <w:rPr>
          <w:szCs w:val="22"/>
        </w:rPr>
        <w:tab/>
        <w:t xml:space="preserve">Australian Government. </w:t>
      </w:r>
      <w:r w:rsidRPr="00045C26">
        <w:rPr>
          <w:i/>
          <w:szCs w:val="22"/>
        </w:rPr>
        <w:t xml:space="preserve">National Disability Insurance Scheme Act 2013 </w:t>
      </w:r>
      <w:r w:rsidRPr="00045C26">
        <w:rPr>
          <w:szCs w:val="22"/>
        </w:rPr>
        <w:t xml:space="preserve">2013; </w:t>
      </w:r>
      <w:hyperlink r:id="rId20" w:history="1">
        <w:r w:rsidRPr="00045C26">
          <w:rPr>
            <w:rStyle w:val="Hyperlink"/>
            <w:szCs w:val="22"/>
          </w:rPr>
          <w:t>www.legislation.gov.au/Details/C2018C00276</w:t>
        </w:r>
      </w:hyperlink>
      <w:r w:rsidRPr="00045C26">
        <w:rPr>
          <w:szCs w:val="22"/>
        </w:rPr>
        <w:t>.</w:t>
      </w:r>
    </w:p>
    <w:p w14:paraId="00747166" w14:textId="0D3CB787" w:rsidR="00D16745" w:rsidRPr="00045C26" w:rsidRDefault="00D16745" w:rsidP="00045C26">
      <w:pPr>
        <w:pStyle w:val="Bodytext"/>
        <w:ind w:left="426" w:hanging="426"/>
        <w:rPr>
          <w:szCs w:val="22"/>
        </w:rPr>
      </w:pPr>
      <w:r w:rsidRPr="00045C26">
        <w:rPr>
          <w:szCs w:val="22"/>
        </w:rPr>
        <w:t>14.</w:t>
      </w:r>
      <w:r w:rsidRPr="00045C26">
        <w:rPr>
          <w:szCs w:val="22"/>
        </w:rPr>
        <w:tab/>
        <w:t xml:space="preserve">Australian Government. </w:t>
      </w:r>
      <w:r w:rsidRPr="00045C26">
        <w:rPr>
          <w:i/>
          <w:szCs w:val="22"/>
        </w:rPr>
        <w:t>Aged Care Act 1997</w:t>
      </w:r>
      <w:r w:rsidRPr="00045C26">
        <w:rPr>
          <w:szCs w:val="22"/>
        </w:rPr>
        <w:t xml:space="preserve">. 1997; </w:t>
      </w:r>
      <w:hyperlink r:id="rId21" w:history="1">
        <w:r w:rsidRPr="00045C26">
          <w:rPr>
            <w:rStyle w:val="Hyperlink"/>
            <w:szCs w:val="22"/>
          </w:rPr>
          <w:t>www.legislation.gov.au/Details/C2019C00023</w:t>
        </w:r>
      </w:hyperlink>
      <w:r w:rsidRPr="00045C26">
        <w:rPr>
          <w:szCs w:val="22"/>
        </w:rPr>
        <w:t>.</w:t>
      </w:r>
    </w:p>
    <w:p w14:paraId="3F48242A" w14:textId="6D596F5C" w:rsidR="00D16745" w:rsidRPr="00045C26" w:rsidRDefault="00D16745" w:rsidP="00045C26">
      <w:pPr>
        <w:pStyle w:val="Bodytext"/>
        <w:ind w:left="426" w:hanging="426"/>
        <w:rPr>
          <w:szCs w:val="22"/>
        </w:rPr>
      </w:pPr>
      <w:r w:rsidRPr="00045C26">
        <w:rPr>
          <w:szCs w:val="22"/>
        </w:rPr>
        <w:t>15.</w:t>
      </w:r>
      <w:r w:rsidRPr="00045C26">
        <w:rPr>
          <w:szCs w:val="22"/>
        </w:rPr>
        <w:tab/>
        <w:t xml:space="preserve">New Zealand Government. </w:t>
      </w:r>
      <w:r w:rsidRPr="00045C26">
        <w:rPr>
          <w:i/>
          <w:szCs w:val="22"/>
        </w:rPr>
        <w:t>Treaty of Waitangi Act 1975</w:t>
      </w:r>
      <w:r w:rsidRPr="00045C26">
        <w:rPr>
          <w:szCs w:val="22"/>
        </w:rPr>
        <w:t xml:space="preserve">. 1975; </w:t>
      </w:r>
      <w:hyperlink r:id="rId22" w:history="1">
        <w:r w:rsidRPr="00045C26">
          <w:rPr>
            <w:rStyle w:val="Hyperlink"/>
            <w:szCs w:val="22"/>
          </w:rPr>
          <w:t>http://legislation.govt.nz/act/public/1975/0114/latest/DLM435834.html</w:t>
        </w:r>
      </w:hyperlink>
      <w:r w:rsidRPr="00045C26">
        <w:rPr>
          <w:szCs w:val="22"/>
        </w:rPr>
        <w:t>.</w:t>
      </w:r>
    </w:p>
    <w:p w14:paraId="728C4BB4" w14:textId="1B121AE7" w:rsidR="00D16745" w:rsidRPr="00045C26" w:rsidRDefault="00D16745" w:rsidP="00045C26">
      <w:pPr>
        <w:pStyle w:val="Bodytext"/>
        <w:ind w:left="426" w:hanging="426"/>
        <w:rPr>
          <w:szCs w:val="22"/>
        </w:rPr>
      </w:pPr>
      <w:r w:rsidRPr="00045C26">
        <w:rPr>
          <w:szCs w:val="22"/>
        </w:rPr>
        <w:t>16.</w:t>
      </w:r>
      <w:r w:rsidRPr="00045C26">
        <w:rPr>
          <w:szCs w:val="22"/>
        </w:rPr>
        <w:tab/>
        <w:t xml:space="preserve">New Zealand Government. </w:t>
      </w:r>
      <w:r w:rsidRPr="00045C26">
        <w:rPr>
          <w:i/>
          <w:szCs w:val="22"/>
        </w:rPr>
        <w:t>New Zealand Bill of Rights Act 1990</w:t>
      </w:r>
      <w:r w:rsidRPr="00045C26">
        <w:rPr>
          <w:szCs w:val="22"/>
        </w:rPr>
        <w:t xml:space="preserve">. 1990; </w:t>
      </w:r>
      <w:hyperlink r:id="rId23" w:history="1">
        <w:r w:rsidRPr="00045C26">
          <w:rPr>
            <w:rStyle w:val="Hyperlink"/>
            <w:szCs w:val="22"/>
          </w:rPr>
          <w:t>www.legislation.govt.nz/act/public/1990/0109/latest/DLM224792.html</w:t>
        </w:r>
      </w:hyperlink>
      <w:r w:rsidRPr="00045C26">
        <w:rPr>
          <w:szCs w:val="22"/>
        </w:rPr>
        <w:t>.</w:t>
      </w:r>
    </w:p>
    <w:p w14:paraId="5F64598E" w14:textId="77777777" w:rsidR="00D16745" w:rsidRPr="00045C26" w:rsidRDefault="00D16745" w:rsidP="00045C26">
      <w:pPr>
        <w:pStyle w:val="Bodytext"/>
        <w:ind w:left="426" w:hanging="426"/>
        <w:rPr>
          <w:szCs w:val="22"/>
        </w:rPr>
      </w:pPr>
      <w:r w:rsidRPr="00045C26">
        <w:rPr>
          <w:szCs w:val="22"/>
        </w:rPr>
        <w:t>17.</w:t>
      </w:r>
      <w:r w:rsidRPr="00045C26">
        <w:rPr>
          <w:szCs w:val="22"/>
        </w:rPr>
        <w:tab/>
        <w:t xml:space="preserve">New Zealand Government, </w:t>
      </w:r>
      <w:r w:rsidRPr="00045C26">
        <w:rPr>
          <w:i/>
          <w:szCs w:val="22"/>
        </w:rPr>
        <w:t>Education Act 1989</w:t>
      </w:r>
      <w:r w:rsidRPr="00045C26">
        <w:rPr>
          <w:szCs w:val="22"/>
        </w:rPr>
        <w:t>. 1989.</w:t>
      </w:r>
    </w:p>
    <w:p w14:paraId="71404D11" w14:textId="209EDAC6" w:rsidR="00D16745" w:rsidRPr="00045C26" w:rsidRDefault="00D16745" w:rsidP="00045C26">
      <w:pPr>
        <w:pStyle w:val="Bodytext"/>
        <w:ind w:left="426" w:hanging="426"/>
        <w:rPr>
          <w:szCs w:val="22"/>
        </w:rPr>
      </w:pPr>
      <w:r w:rsidRPr="00045C26">
        <w:rPr>
          <w:szCs w:val="22"/>
        </w:rPr>
        <w:t>18.</w:t>
      </w:r>
      <w:r w:rsidRPr="00045C26">
        <w:rPr>
          <w:szCs w:val="22"/>
        </w:rPr>
        <w:tab/>
        <w:t xml:space="preserve">New Zealand Government. </w:t>
      </w:r>
      <w:r w:rsidRPr="00045C26">
        <w:rPr>
          <w:i/>
          <w:szCs w:val="22"/>
        </w:rPr>
        <w:t>Human Rights Act 1993</w:t>
      </w:r>
      <w:r w:rsidRPr="00045C26">
        <w:rPr>
          <w:szCs w:val="22"/>
        </w:rPr>
        <w:t xml:space="preserve">. 1993; </w:t>
      </w:r>
      <w:hyperlink r:id="rId24" w:history="1">
        <w:r w:rsidRPr="00045C26">
          <w:rPr>
            <w:rStyle w:val="Hyperlink"/>
            <w:szCs w:val="22"/>
          </w:rPr>
          <w:t>www.legislation.govt.nz/act/public/1993/0082/latest/DLM304212.html</w:t>
        </w:r>
      </w:hyperlink>
      <w:r w:rsidRPr="00045C26">
        <w:rPr>
          <w:szCs w:val="22"/>
        </w:rPr>
        <w:t>.</w:t>
      </w:r>
    </w:p>
    <w:p w14:paraId="13B6C4D2" w14:textId="093BA304" w:rsidR="00D16745" w:rsidRPr="00045C26" w:rsidRDefault="00D16745" w:rsidP="00045C26">
      <w:pPr>
        <w:pStyle w:val="Bodytext"/>
        <w:ind w:left="426" w:hanging="426"/>
        <w:rPr>
          <w:szCs w:val="22"/>
        </w:rPr>
      </w:pPr>
      <w:r w:rsidRPr="00045C26">
        <w:rPr>
          <w:szCs w:val="22"/>
        </w:rPr>
        <w:t>19.</w:t>
      </w:r>
      <w:r w:rsidRPr="00045C26">
        <w:rPr>
          <w:szCs w:val="22"/>
        </w:rPr>
        <w:tab/>
        <w:t xml:space="preserve">New Zealand Government. </w:t>
      </w:r>
      <w:r w:rsidRPr="00045C26">
        <w:rPr>
          <w:i/>
          <w:szCs w:val="22"/>
        </w:rPr>
        <w:t>New Zealand Public Health and Disability Act 2000</w:t>
      </w:r>
      <w:r w:rsidRPr="00045C26">
        <w:rPr>
          <w:szCs w:val="22"/>
        </w:rPr>
        <w:t xml:space="preserve">. 2000; </w:t>
      </w:r>
      <w:hyperlink r:id="rId25" w:history="1">
        <w:r w:rsidRPr="00045C26">
          <w:rPr>
            <w:rStyle w:val="Hyperlink"/>
            <w:szCs w:val="22"/>
          </w:rPr>
          <w:t>http://legislation.govt.nz/act/public/2000/0091/72.0/DLM80051.html</w:t>
        </w:r>
      </w:hyperlink>
      <w:r w:rsidRPr="00045C26">
        <w:rPr>
          <w:szCs w:val="22"/>
        </w:rPr>
        <w:t>.</w:t>
      </w:r>
    </w:p>
    <w:p w14:paraId="3FDF033F" w14:textId="4FE99610" w:rsidR="00D16745" w:rsidRPr="00045C26" w:rsidRDefault="00D16745" w:rsidP="00045C26">
      <w:pPr>
        <w:pStyle w:val="Bodytext"/>
        <w:ind w:left="426" w:hanging="426"/>
        <w:rPr>
          <w:szCs w:val="22"/>
        </w:rPr>
      </w:pPr>
      <w:r w:rsidRPr="00045C26">
        <w:rPr>
          <w:szCs w:val="22"/>
        </w:rPr>
        <w:t>20.</w:t>
      </w:r>
      <w:r w:rsidRPr="00045C26">
        <w:rPr>
          <w:szCs w:val="22"/>
        </w:rPr>
        <w:tab/>
        <w:t xml:space="preserve">Orientation and Mobility Association of Australasia. </w:t>
      </w:r>
      <w:r w:rsidRPr="00045C26">
        <w:rPr>
          <w:i/>
          <w:szCs w:val="22"/>
        </w:rPr>
        <w:t>Quality Framework</w:t>
      </w:r>
      <w:r w:rsidRPr="00045C26">
        <w:rPr>
          <w:szCs w:val="22"/>
        </w:rPr>
        <w:t xml:space="preserve">. 2019  [cited 2019; </w:t>
      </w:r>
      <w:hyperlink r:id="rId26" w:history="1">
        <w:r w:rsidRPr="00045C26">
          <w:rPr>
            <w:rStyle w:val="Hyperlink"/>
            <w:szCs w:val="22"/>
          </w:rPr>
          <w:t>www.omaaustralasia.com/about/quality-framework/</w:t>
        </w:r>
      </w:hyperlink>
      <w:r w:rsidRPr="00045C26">
        <w:rPr>
          <w:szCs w:val="22"/>
        </w:rPr>
        <w:t xml:space="preserve"> </w:t>
      </w:r>
    </w:p>
    <w:p w14:paraId="06C41C49" w14:textId="77777777" w:rsidR="00D16745" w:rsidRPr="00045C26" w:rsidRDefault="00D16745" w:rsidP="00045C26">
      <w:pPr>
        <w:pStyle w:val="Bodytext"/>
        <w:ind w:left="426" w:hanging="426"/>
        <w:rPr>
          <w:szCs w:val="22"/>
        </w:rPr>
      </w:pPr>
      <w:r w:rsidRPr="00045C26">
        <w:rPr>
          <w:szCs w:val="22"/>
        </w:rPr>
        <w:t>21.</w:t>
      </w:r>
      <w:r w:rsidRPr="00045C26">
        <w:rPr>
          <w:szCs w:val="22"/>
        </w:rPr>
        <w:tab/>
        <w:t xml:space="preserve">Deverell, L., et al., </w:t>
      </w:r>
      <w:r w:rsidRPr="00045C26">
        <w:rPr>
          <w:i/>
          <w:szCs w:val="22"/>
        </w:rPr>
        <w:t>Developing O&amp;M standards for Australasia.</w:t>
      </w:r>
      <w:r w:rsidRPr="00045C26">
        <w:rPr>
          <w:szCs w:val="22"/>
        </w:rPr>
        <w:t xml:space="preserve"> International Journal of Orientation &amp; Mobility, 2014. </w:t>
      </w:r>
      <w:r w:rsidRPr="00045C26">
        <w:rPr>
          <w:b/>
          <w:szCs w:val="22"/>
        </w:rPr>
        <w:t>6</w:t>
      </w:r>
      <w:r w:rsidRPr="00045C26">
        <w:rPr>
          <w:szCs w:val="22"/>
        </w:rPr>
        <w:t>(1): p. 34-44.</w:t>
      </w:r>
    </w:p>
    <w:p w14:paraId="71F4978E" w14:textId="77777777" w:rsidR="00D16745" w:rsidRPr="00045C26" w:rsidRDefault="00D16745" w:rsidP="00045C26">
      <w:pPr>
        <w:pStyle w:val="Bodytext"/>
        <w:ind w:left="426" w:hanging="426"/>
        <w:rPr>
          <w:szCs w:val="22"/>
        </w:rPr>
      </w:pPr>
      <w:r w:rsidRPr="00045C26">
        <w:rPr>
          <w:szCs w:val="22"/>
        </w:rPr>
        <w:t>22.</w:t>
      </w:r>
      <w:r w:rsidRPr="00045C26">
        <w:rPr>
          <w:szCs w:val="22"/>
        </w:rPr>
        <w:tab/>
        <w:t>Deverell, L., Measuring vision, orientation and mobility in the wild, in The Routledge Handbook of Visual Impairment, J. Ravenscroft, Editor. 2019, Routledge: Abingdon, UK. p. 360-375.</w:t>
      </w:r>
    </w:p>
    <w:p w14:paraId="3958DC53" w14:textId="4F2EB3D6" w:rsidR="00D16745" w:rsidRPr="00045C26" w:rsidRDefault="00D16745" w:rsidP="00045C26">
      <w:pPr>
        <w:pStyle w:val="Bodytext"/>
        <w:ind w:left="426" w:hanging="426"/>
        <w:rPr>
          <w:szCs w:val="22"/>
        </w:rPr>
      </w:pPr>
      <w:r w:rsidRPr="00045C26">
        <w:rPr>
          <w:szCs w:val="22"/>
        </w:rPr>
        <w:t>23.</w:t>
      </w:r>
      <w:r w:rsidRPr="00045C26">
        <w:rPr>
          <w:szCs w:val="22"/>
        </w:rPr>
        <w:tab/>
        <w:t xml:space="preserve">International Guide Dog Federation. </w:t>
      </w:r>
      <w:r w:rsidRPr="00045C26">
        <w:rPr>
          <w:i/>
          <w:szCs w:val="22"/>
        </w:rPr>
        <w:t>IGDF Standards</w:t>
      </w:r>
      <w:r w:rsidRPr="00045C26">
        <w:rPr>
          <w:szCs w:val="22"/>
        </w:rPr>
        <w:t xml:space="preserve">. 2020;  </w:t>
      </w:r>
      <w:hyperlink r:id="rId27" w:history="1">
        <w:r w:rsidRPr="00045C26">
          <w:rPr>
            <w:rStyle w:val="Hyperlink"/>
            <w:szCs w:val="22"/>
          </w:rPr>
          <w:t>https://www.igdf.org.uk/about-us/igdf-standards/</w:t>
        </w:r>
      </w:hyperlink>
      <w:r w:rsidRPr="00045C26">
        <w:rPr>
          <w:szCs w:val="22"/>
        </w:rPr>
        <w:t>.</w:t>
      </w:r>
    </w:p>
    <w:p w14:paraId="37FA33D5" w14:textId="4DB5F248" w:rsidR="00D16745" w:rsidRPr="00045C26" w:rsidRDefault="00D16745" w:rsidP="00045C26">
      <w:pPr>
        <w:pStyle w:val="Bodytext"/>
        <w:ind w:left="426" w:hanging="426"/>
        <w:rPr>
          <w:szCs w:val="22"/>
        </w:rPr>
      </w:pPr>
      <w:r w:rsidRPr="00045C26">
        <w:rPr>
          <w:szCs w:val="22"/>
        </w:rPr>
        <w:t>24.</w:t>
      </w:r>
      <w:r w:rsidRPr="00045C26">
        <w:rPr>
          <w:szCs w:val="22"/>
        </w:rPr>
        <w:tab/>
        <w:t xml:space="preserve">Occupational Therapy Australia. </w:t>
      </w:r>
      <w:r w:rsidRPr="00045C26">
        <w:rPr>
          <w:i/>
          <w:szCs w:val="22"/>
        </w:rPr>
        <w:t>Position paper: Occupational therapy scope of practice framework</w:t>
      </w:r>
      <w:r w:rsidRPr="00045C26">
        <w:rPr>
          <w:szCs w:val="22"/>
        </w:rPr>
        <w:t xml:space="preserve">. 2017; </w:t>
      </w:r>
      <w:hyperlink r:id="rId28" w:history="1">
        <w:r w:rsidRPr="00045C26">
          <w:rPr>
            <w:rStyle w:val="Hyperlink"/>
            <w:szCs w:val="22"/>
          </w:rPr>
          <w:t>https://otaus.com.au/publicassets/725829df-2503-e911-a2c2-b75c2fd918c5/Occupational%20Therapy%20Scope%20of%20Practice%20Framework%20(June%202017).pdf</w:t>
        </w:r>
      </w:hyperlink>
      <w:r w:rsidRPr="00045C26">
        <w:rPr>
          <w:szCs w:val="22"/>
        </w:rPr>
        <w:t>.</w:t>
      </w:r>
    </w:p>
    <w:p w14:paraId="464B8057" w14:textId="581C9051" w:rsidR="00D16745" w:rsidRPr="00045C26" w:rsidRDefault="00D16745" w:rsidP="00045C26">
      <w:pPr>
        <w:pStyle w:val="Bodytext"/>
        <w:ind w:left="426" w:hanging="426"/>
        <w:rPr>
          <w:szCs w:val="22"/>
        </w:rPr>
      </w:pPr>
      <w:r w:rsidRPr="00045C26">
        <w:rPr>
          <w:szCs w:val="22"/>
        </w:rPr>
        <w:t>25.</w:t>
      </w:r>
      <w:r w:rsidRPr="00045C26">
        <w:rPr>
          <w:szCs w:val="22"/>
        </w:rPr>
        <w:tab/>
        <w:t xml:space="preserve">Australian Physiotherapy Association. </w:t>
      </w:r>
      <w:r w:rsidRPr="00045C26">
        <w:rPr>
          <w:i/>
          <w:szCs w:val="22"/>
        </w:rPr>
        <w:t>Scope of Practice</w:t>
      </w:r>
      <w:r w:rsidRPr="00045C26">
        <w:rPr>
          <w:szCs w:val="22"/>
        </w:rPr>
        <w:t xml:space="preserve">. 2009; </w:t>
      </w:r>
      <w:hyperlink r:id="rId29" w:history="1">
        <w:r w:rsidRPr="00045C26">
          <w:rPr>
            <w:rStyle w:val="Hyperlink"/>
            <w:szCs w:val="22"/>
          </w:rPr>
          <w:t>https://australian.physio/sites/default/files/RESOURCES/Advocacy_Position_Scope_of_Practice_2009.pdf</w:t>
        </w:r>
      </w:hyperlink>
      <w:r w:rsidRPr="00045C26">
        <w:rPr>
          <w:szCs w:val="22"/>
        </w:rPr>
        <w:t xml:space="preserve"> </w:t>
      </w:r>
    </w:p>
    <w:p w14:paraId="3C35249C" w14:textId="5AD95D4C" w:rsidR="00D16745" w:rsidRPr="00045C26" w:rsidRDefault="00D16745" w:rsidP="00045C26">
      <w:pPr>
        <w:pStyle w:val="Bodytext"/>
        <w:ind w:left="426" w:hanging="426"/>
        <w:rPr>
          <w:szCs w:val="22"/>
        </w:rPr>
      </w:pPr>
      <w:r w:rsidRPr="00045C26">
        <w:rPr>
          <w:szCs w:val="22"/>
        </w:rPr>
        <w:t>26.</w:t>
      </w:r>
      <w:r w:rsidRPr="00045C26">
        <w:rPr>
          <w:szCs w:val="22"/>
        </w:rPr>
        <w:tab/>
        <w:t xml:space="preserve">Services for Australian Rural and Remote Allied Health. </w:t>
      </w:r>
      <w:r w:rsidRPr="00045C26">
        <w:rPr>
          <w:i/>
          <w:szCs w:val="22"/>
        </w:rPr>
        <w:t>Scope of practice</w:t>
      </w:r>
      <w:r w:rsidRPr="00045C26">
        <w:rPr>
          <w:szCs w:val="22"/>
        </w:rPr>
        <w:t xml:space="preserve">. n.d.; </w:t>
      </w:r>
      <w:hyperlink r:id="rId30" w:history="1">
        <w:r w:rsidRPr="00045C26">
          <w:rPr>
            <w:rStyle w:val="Hyperlink"/>
            <w:szCs w:val="22"/>
          </w:rPr>
          <w:t>https://sarrah.org.au/book/export/html/435</w:t>
        </w:r>
      </w:hyperlink>
      <w:r w:rsidRPr="00045C26">
        <w:rPr>
          <w:szCs w:val="22"/>
        </w:rPr>
        <w:t>.</w:t>
      </w:r>
    </w:p>
    <w:p w14:paraId="21E51876" w14:textId="5FDD1FB3" w:rsidR="00D16745" w:rsidRPr="00045C26" w:rsidRDefault="00D16745" w:rsidP="00045C26">
      <w:pPr>
        <w:pStyle w:val="Bodytext"/>
        <w:ind w:left="426" w:hanging="426"/>
        <w:rPr>
          <w:szCs w:val="22"/>
        </w:rPr>
      </w:pPr>
      <w:r w:rsidRPr="00045C26">
        <w:rPr>
          <w:szCs w:val="22"/>
        </w:rPr>
        <w:lastRenderedPageBreak/>
        <w:t>27.</w:t>
      </w:r>
      <w:r w:rsidRPr="00045C26">
        <w:rPr>
          <w:szCs w:val="22"/>
        </w:rPr>
        <w:tab/>
        <w:t xml:space="preserve">Australian Primary Health Care Nurses Association. </w:t>
      </w:r>
      <w:r w:rsidRPr="00045C26">
        <w:rPr>
          <w:i/>
          <w:szCs w:val="22"/>
        </w:rPr>
        <w:t>Nurses Scope of Practice</w:t>
      </w:r>
      <w:r w:rsidRPr="00045C26">
        <w:rPr>
          <w:szCs w:val="22"/>
        </w:rPr>
        <w:t>. n.d.; file:///D:/Downloads/Nurses%20Scope%20of%20Practice.pdf.</w:t>
      </w:r>
    </w:p>
    <w:p w14:paraId="37CB95C2" w14:textId="4115EFDE" w:rsidR="00D16745" w:rsidRPr="00045C26" w:rsidRDefault="00D16745" w:rsidP="00045C26">
      <w:pPr>
        <w:pStyle w:val="Bodytext"/>
        <w:ind w:left="426" w:hanging="426"/>
        <w:rPr>
          <w:szCs w:val="22"/>
        </w:rPr>
      </w:pPr>
      <w:r w:rsidRPr="00045C26">
        <w:rPr>
          <w:szCs w:val="22"/>
        </w:rPr>
        <w:t>28.</w:t>
      </w:r>
      <w:r w:rsidRPr="00045C26">
        <w:rPr>
          <w:szCs w:val="22"/>
        </w:rPr>
        <w:tab/>
        <w:t>AER Or</w:t>
      </w:r>
      <w:r w:rsidR="00045C26" w:rsidRPr="00045C26">
        <w:rPr>
          <w:szCs w:val="22"/>
        </w:rPr>
        <w:t>ie</w:t>
      </w:r>
      <w:r w:rsidRPr="00045C26">
        <w:rPr>
          <w:szCs w:val="22"/>
        </w:rPr>
        <w:t>ntation and Mobilit</w:t>
      </w:r>
      <w:r w:rsidR="00045C26" w:rsidRPr="00045C26">
        <w:rPr>
          <w:szCs w:val="22"/>
        </w:rPr>
        <w:t>y</w:t>
      </w:r>
      <w:r w:rsidRPr="00045C26">
        <w:rPr>
          <w:szCs w:val="22"/>
        </w:rPr>
        <w:t xml:space="preserve"> Division IX. </w:t>
      </w:r>
      <w:r w:rsidRPr="00045C26">
        <w:rPr>
          <w:i/>
          <w:szCs w:val="22"/>
        </w:rPr>
        <w:t>Scope of Practice</w:t>
      </w:r>
      <w:r w:rsidRPr="00045C26">
        <w:rPr>
          <w:szCs w:val="22"/>
        </w:rPr>
        <w:t xml:space="preserve">. 2018; </w:t>
      </w:r>
      <w:hyperlink r:id="rId31" w:history="1">
        <w:r w:rsidRPr="00045C26">
          <w:rPr>
            <w:rStyle w:val="Hyperlink"/>
            <w:szCs w:val="22"/>
          </w:rPr>
          <w:t>http://aerom.org/AEROM_Downloads/Scope_of_Practice_Final_Draft_3-7-18.pdf</w:t>
        </w:r>
      </w:hyperlink>
      <w:r w:rsidRPr="00045C26">
        <w:rPr>
          <w:szCs w:val="22"/>
        </w:rPr>
        <w:t>.</w:t>
      </w:r>
    </w:p>
    <w:p w14:paraId="1202B84A" w14:textId="240A3CCF" w:rsidR="004307C1" w:rsidRPr="00045C26" w:rsidRDefault="004307C1" w:rsidP="00045C26">
      <w:pPr>
        <w:pStyle w:val="Bodytext"/>
        <w:ind w:left="426" w:hanging="426"/>
        <w:rPr>
          <w:szCs w:val="22"/>
        </w:rPr>
      </w:pPr>
    </w:p>
    <w:sectPr w:rsidR="004307C1" w:rsidRPr="00045C26" w:rsidSect="00B05E85">
      <w:footerReference w:type="default" r:id="rId32"/>
      <w:headerReference w:type="first" r:id="rId33"/>
      <w:footerReference w:type="first" r:id="rId34"/>
      <w:pgSz w:w="11906" w:h="16838"/>
      <w:pgMar w:top="1440" w:right="1440" w:bottom="1440" w:left="1440" w:header="708"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0C079" w14:textId="77777777" w:rsidR="00BA7A85" w:rsidRDefault="00BA7A85" w:rsidP="00CD122F">
      <w:r>
        <w:separator/>
      </w:r>
    </w:p>
  </w:endnote>
  <w:endnote w:type="continuationSeparator" w:id="0">
    <w:p w14:paraId="477F01DC" w14:textId="77777777" w:rsidR="00BA7A85" w:rsidRDefault="00BA7A85" w:rsidP="00CD122F">
      <w:r>
        <w:continuationSeparator/>
      </w:r>
    </w:p>
  </w:endnote>
  <w:endnote w:type="continuationNotice" w:id="1">
    <w:p w14:paraId="6B80B512" w14:textId="77777777" w:rsidR="00BA7A85" w:rsidRDefault="00BA7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67D9" w14:textId="4FFA9AFA" w:rsidR="00B05E85" w:rsidRDefault="00B05E85" w:rsidP="00B05E85">
    <w:pPr>
      <w:pStyle w:val="Footer"/>
      <w:pBdr>
        <w:top w:val="single" w:sz="4" w:space="1" w:color="auto"/>
      </w:pBdr>
      <w:tabs>
        <w:tab w:val="right" w:pos="9639"/>
      </w:tabs>
      <w:rPr>
        <w:rFonts w:ascii="Arial" w:hAnsi="Arial" w:cs="Arial"/>
        <w:b/>
        <w:bCs/>
      </w:rPr>
    </w:pPr>
    <w:r w:rsidRPr="00796550">
      <w:rPr>
        <w:rFonts w:ascii="Arial" w:hAnsi="Arial" w:cs="Arial"/>
        <w:sz w:val="20"/>
        <w:szCs w:val="20"/>
      </w:rPr>
      <w:t xml:space="preserve">OMAA </w:t>
    </w:r>
    <w:r>
      <w:rPr>
        <w:rFonts w:ascii="Arial" w:hAnsi="Arial" w:cs="Arial"/>
        <w:sz w:val="20"/>
        <w:szCs w:val="20"/>
      </w:rPr>
      <w:t>Scope of Practice v1.0 May 2020</w:t>
    </w:r>
    <w:r>
      <w:rPr>
        <w:rFonts w:ascii="Arial" w:hAnsi="Arial" w:cs="Arial"/>
        <w:sz w:val="20"/>
        <w:szCs w:val="20"/>
      </w:rPr>
      <w:tab/>
    </w:r>
    <w:r w:rsidRPr="00796550">
      <w:rPr>
        <w:rFonts w:ascii="Arial" w:hAnsi="Arial" w:cs="Arial"/>
      </w:rPr>
      <w:tab/>
      <w:t xml:space="preserve">Page </w:t>
    </w:r>
    <w:r>
      <w:rPr>
        <w:rFonts w:ascii="Arial" w:hAnsi="Arial" w:cs="Arial"/>
        <w:b/>
        <w:bCs/>
      </w:rPr>
      <w:t>1</w:t>
    </w:r>
    <w:r w:rsidRPr="00796550">
      <w:rPr>
        <w:rFonts w:ascii="Arial" w:hAnsi="Arial" w:cs="Arial"/>
      </w:rPr>
      <w:t xml:space="preserve"> of </w:t>
    </w:r>
    <w:r>
      <w:rPr>
        <w:rFonts w:ascii="Arial" w:hAnsi="Arial" w:cs="Arial"/>
        <w:b/>
        <w:bCs/>
      </w:rPr>
      <w:t>4</w:t>
    </w:r>
  </w:p>
  <w:p w14:paraId="4EF3E23F" w14:textId="77777777" w:rsidR="00B05E85" w:rsidRPr="00AB60B8" w:rsidRDefault="00B05E85" w:rsidP="00B05E85">
    <w:pPr>
      <w:pStyle w:val="Footer"/>
      <w:pBdr>
        <w:top w:val="single" w:sz="4" w:space="1" w:color="auto"/>
      </w:pBdr>
      <w:tabs>
        <w:tab w:val="right" w:pos="9639"/>
      </w:tabs>
    </w:pPr>
    <w:r w:rsidRPr="00AB60B8">
      <w:rPr>
        <w:rFonts w:ascii="Arial" w:hAnsi="Arial" w:cs="Arial"/>
        <w:bCs/>
      </w:rPr>
      <w:t>Uncontrolled if Printed</w:t>
    </w:r>
  </w:p>
  <w:p w14:paraId="470E63AC" w14:textId="75D407FD" w:rsidR="003055D0" w:rsidRPr="00B05E85" w:rsidRDefault="003055D0" w:rsidP="00B0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ABFF" w14:textId="77777777" w:rsidR="00AB4F47" w:rsidRDefault="00AB4F47" w:rsidP="00AB4F47">
    <w:pPr>
      <w:pStyle w:val="Footer"/>
      <w:pBdr>
        <w:top w:val="single" w:sz="4" w:space="1" w:color="auto"/>
      </w:pBdr>
      <w:tabs>
        <w:tab w:val="right" w:pos="9639"/>
      </w:tabs>
      <w:rPr>
        <w:rFonts w:ascii="Arial" w:hAnsi="Arial" w:cs="Arial"/>
        <w:b/>
        <w:bCs/>
      </w:rPr>
    </w:pPr>
    <w:r w:rsidRPr="00796550">
      <w:rPr>
        <w:rFonts w:ascii="Arial" w:hAnsi="Arial" w:cs="Arial"/>
        <w:sz w:val="20"/>
        <w:szCs w:val="20"/>
      </w:rPr>
      <w:t xml:space="preserve">OMAA </w:t>
    </w:r>
    <w:r>
      <w:rPr>
        <w:rFonts w:ascii="Arial" w:hAnsi="Arial" w:cs="Arial"/>
        <w:sz w:val="20"/>
        <w:szCs w:val="20"/>
      </w:rPr>
      <w:t>Scope of Practice v1.0 May 2020</w:t>
    </w:r>
    <w:r>
      <w:rPr>
        <w:rFonts w:ascii="Arial" w:hAnsi="Arial" w:cs="Arial"/>
        <w:sz w:val="20"/>
        <w:szCs w:val="20"/>
      </w:rPr>
      <w:tab/>
    </w:r>
    <w:r w:rsidRPr="00796550">
      <w:rPr>
        <w:rFonts w:ascii="Arial" w:hAnsi="Arial" w:cs="Arial"/>
      </w:rPr>
      <w:tab/>
      <w:t xml:space="preserve">Page </w:t>
    </w:r>
    <w:r>
      <w:rPr>
        <w:rFonts w:ascii="Arial" w:hAnsi="Arial" w:cs="Arial"/>
        <w:b/>
        <w:bCs/>
      </w:rPr>
      <w:t>2</w:t>
    </w:r>
    <w:r w:rsidRPr="00796550">
      <w:rPr>
        <w:rFonts w:ascii="Arial" w:hAnsi="Arial" w:cs="Arial"/>
      </w:rPr>
      <w:t xml:space="preserve"> of </w:t>
    </w:r>
    <w:r>
      <w:rPr>
        <w:rFonts w:ascii="Arial" w:hAnsi="Arial" w:cs="Arial"/>
        <w:b/>
        <w:bCs/>
      </w:rPr>
      <w:t>16</w:t>
    </w:r>
  </w:p>
  <w:p w14:paraId="62AC1639" w14:textId="77777777" w:rsidR="00AB4F47" w:rsidRPr="00AB60B8" w:rsidRDefault="00AB4F47" w:rsidP="00AB4F47">
    <w:pPr>
      <w:pStyle w:val="Footer"/>
      <w:pBdr>
        <w:top w:val="single" w:sz="4" w:space="1" w:color="auto"/>
      </w:pBdr>
      <w:tabs>
        <w:tab w:val="right" w:pos="9639"/>
      </w:tabs>
    </w:pPr>
    <w:r w:rsidRPr="00AB60B8">
      <w:rPr>
        <w:rFonts w:ascii="Arial" w:hAnsi="Arial" w:cs="Arial"/>
        <w:bCs/>
      </w:rPr>
      <w:t>Uncontrolled if Printed</w:t>
    </w:r>
  </w:p>
  <w:p w14:paraId="4C577F1C" w14:textId="77777777" w:rsidR="00AB4F47" w:rsidRPr="00AB4F47" w:rsidRDefault="00AB4F47" w:rsidP="00AB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2F15" w14:textId="77777777" w:rsidR="00BA7A85" w:rsidRDefault="00BA7A85" w:rsidP="00CD122F">
      <w:r>
        <w:separator/>
      </w:r>
    </w:p>
  </w:footnote>
  <w:footnote w:type="continuationSeparator" w:id="0">
    <w:p w14:paraId="1288C404" w14:textId="77777777" w:rsidR="00BA7A85" w:rsidRDefault="00BA7A85" w:rsidP="00CD122F">
      <w:r>
        <w:continuationSeparator/>
      </w:r>
    </w:p>
  </w:footnote>
  <w:footnote w:type="continuationNotice" w:id="1">
    <w:p w14:paraId="2B48F1CA" w14:textId="77777777" w:rsidR="00BA7A85" w:rsidRDefault="00BA7A85">
      <w:pPr>
        <w:spacing w:after="0" w:line="240" w:lineRule="auto"/>
      </w:pPr>
    </w:p>
  </w:footnote>
  <w:footnote w:id="2">
    <w:p w14:paraId="627E9BE9" w14:textId="77777777" w:rsidR="003055D0" w:rsidRPr="0067169F" w:rsidRDefault="003055D0" w:rsidP="002B413E">
      <w:pPr>
        <w:pStyle w:val="FootnoteText"/>
        <w:rPr>
          <w:rFonts w:ascii="Arial" w:hAnsi="Arial" w:cs="Arial"/>
        </w:rPr>
      </w:pPr>
      <w:r w:rsidRPr="0067169F">
        <w:rPr>
          <w:rStyle w:val="FootnoteReference"/>
          <w:rFonts w:ascii="Arial" w:hAnsi="Arial" w:cs="Arial"/>
        </w:rPr>
        <w:footnoteRef/>
      </w:r>
      <w:r w:rsidRPr="0067169F">
        <w:rPr>
          <w:rFonts w:ascii="Arial" w:hAnsi="Arial" w:cs="Arial"/>
        </w:rPr>
        <w:t xml:space="preserve"> In line with the International Guide Dog Federation, the OMAA uses “guide dog” as a generic term for assistance dogs that work with people who have low vision or blindness, including Seeing Eye Dogs, Leader Dogs, etc. Thus, the generic term “guide dog mobility instructor” or GDMI also includes Seeing Eye Dog Instructors. However, the term “dog guide” is used interchangeably with guide dog, especially when referring to guides, comparing dog and human guides, or when agency branding is a sensitive issue. </w:t>
      </w:r>
    </w:p>
  </w:footnote>
  <w:footnote w:id="3">
    <w:p w14:paraId="2E30156F" w14:textId="123DE3AA" w:rsidR="003055D0" w:rsidRPr="0067169F" w:rsidRDefault="003055D0" w:rsidP="00992885">
      <w:pPr>
        <w:pStyle w:val="FootnoteText"/>
        <w:rPr>
          <w:rFonts w:ascii="Arial" w:hAnsi="Arial" w:cs="Arial"/>
        </w:rPr>
      </w:pPr>
      <w:r w:rsidRPr="0067169F">
        <w:rPr>
          <w:rStyle w:val="FootnoteReference"/>
          <w:rFonts w:ascii="Arial" w:hAnsi="Arial" w:cs="Arial"/>
        </w:rPr>
        <w:footnoteRef/>
      </w:r>
      <w:r w:rsidRPr="0067169F">
        <w:rPr>
          <w:rFonts w:ascii="Arial" w:hAnsi="Arial" w:cs="Arial"/>
        </w:rPr>
        <w:t xml:space="preserve"> A bachelor’s degree is Level 7 in both </w:t>
      </w:r>
      <w:r w:rsidR="00946B54" w:rsidRPr="0067169F">
        <w:rPr>
          <w:rFonts w:ascii="Arial" w:hAnsi="Arial" w:cs="Arial"/>
        </w:rPr>
        <w:t xml:space="preserve">the </w:t>
      </w:r>
      <w:r w:rsidRPr="0067169F">
        <w:rPr>
          <w:rFonts w:ascii="Arial" w:hAnsi="Arial" w:cs="Arial"/>
        </w:rPr>
        <w:t>Australian Qualifications Framework (</w:t>
      </w:r>
      <w:hyperlink r:id="rId1" w:history="1">
        <w:r w:rsidRPr="0067169F">
          <w:rPr>
            <w:rStyle w:val="Hyperlink"/>
            <w:rFonts w:ascii="Arial" w:hAnsi="Arial" w:cs="Arial"/>
          </w:rPr>
          <w:t>www.aqf.edu.au/</w:t>
        </w:r>
      </w:hyperlink>
      <w:r w:rsidRPr="0067169F">
        <w:rPr>
          <w:rFonts w:ascii="Arial" w:hAnsi="Arial" w:cs="Arial"/>
        </w:rPr>
        <w:t>) and the New Zealand Qualifications Framework (</w:t>
      </w:r>
      <w:hyperlink r:id="rId2" w:history="1">
        <w:r w:rsidRPr="0067169F">
          <w:rPr>
            <w:rStyle w:val="Hyperlink"/>
            <w:rFonts w:ascii="Arial" w:hAnsi="Arial" w:cs="Arial"/>
          </w:rPr>
          <w:t>www.nzqa.govt.nz/studying-in-new-zealand/understand-nz-quals/nzqf/</w:t>
        </w:r>
      </w:hyperlink>
      <w:r w:rsidRPr="0067169F">
        <w:rPr>
          <w:rFonts w:ascii="Arial" w:hAnsi="Arial" w:cs="Arial"/>
        </w:rPr>
        <w:t>). A graduate certificate or post/graduate diploma is Level 8, a masters is Level 9 and a PhD is Level 10.</w:t>
      </w:r>
    </w:p>
  </w:footnote>
  <w:footnote w:id="4">
    <w:p w14:paraId="05B30A5C" w14:textId="77777777" w:rsidR="003055D0" w:rsidRPr="0067169F" w:rsidRDefault="003055D0" w:rsidP="002665B8">
      <w:pPr>
        <w:pStyle w:val="EndnoteText"/>
        <w:rPr>
          <w:rFonts w:ascii="Arial" w:hAnsi="Arial" w:cs="Arial"/>
        </w:rPr>
      </w:pPr>
      <w:r w:rsidRPr="0067169F">
        <w:rPr>
          <w:rStyle w:val="FootnoteReference"/>
          <w:rFonts w:ascii="Arial" w:hAnsi="Arial" w:cs="Arial"/>
        </w:rPr>
        <w:footnoteRef/>
      </w:r>
      <w:r w:rsidRPr="0067169F">
        <w:rPr>
          <w:rFonts w:ascii="Arial" w:hAnsi="Arial" w:cs="Arial"/>
        </w:rPr>
        <w:t xml:space="preserve"> </w:t>
      </w:r>
      <w:r w:rsidRPr="0067169F">
        <w:rPr>
          <w:rFonts w:ascii="Arial" w:hAnsi="Arial" w:cs="Arial"/>
          <w:lang w:val="en-US"/>
        </w:rPr>
        <w:t xml:space="preserve">Estimated in 2018 by the Board of O&amp;M Australasia after collaboration with educators involved in O&amp;M personnel preparation in Australia, New Zealand, and USA.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127A" w14:textId="77777777" w:rsidR="003055D0" w:rsidRDefault="003055D0" w:rsidP="00CD122F">
    <w:pPr>
      <w:pStyle w:val="Header"/>
    </w:pPr>
    <w:r w:rsidRPr="004360EC">
      <w:rPr>
        <w:noProof/>
        <w:lang w:val="en-NZ" w:eastAsia="en-NZ"/>
      </w:rPr>
      <w:drawing>
        <wp:anchor distT="0" distB="0" distL="114300" distR="114300" simplePos="0" relativeHeight="251665408" behindDoc="0" locked="0" layoutInCell="1" allowOverlap="1" wp14:anchorId="068A6BDB" wp14:editId="07585341">
          <wp:simplePos x="0" y="0"/>
          <wp:positionH relativeFrom="margin">
            <wp:posOffset>1445260</wp:posOffset>
          </wp:positionH>
          <wp:positionV relativeFrom="paragraph">
            <wp:posOffset>140335</wp:posOffset>
          </wp:positionV>
          <wp:extent cx="4278630" cy="915035"/>
          <wp:effectExtent l="0" t="0" r="762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ntationMobilityAustralasia_Logo.jpg"/>
                  <pic:cNvPicPr/>
                </pic:nvPicPr>
                <pic:blipFill>
                  <a:blip r:embed="rId1">
                    <a:extLst>
                      <a:ext uri="{28A0092B-C50C-407E-A947-70E740481C1C}">
                        <a14:useLocalDpi xmlns:a14="http://schemas.microsoft.com/office/drawing/2010/main" val="0"/>
                      </a:ext>
                    </a:extLst>
                  </a:blip>
                  <a:stretch>
                    <a:fillRect/>
                  </a:stretch>
                </pic:blipFill>
                <pic:spPr>
                  <a:xfrm>
                    <a:off x="0" y="0"/>
                    <a:ext cx="4278630" cy="915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CA65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D7047"/>
    <w:multiLevelType w:val="hybridMultilevel"/>
    <w:tmpl w:val="6BC84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D7EFF"/>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E4C64"/>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85E99"/>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C021A"/>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C2C92"/>
    <w:multiLevelType w:val="hybridMultilevel"/>
    <w:tmpl w:val="1902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62BF8"/>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86931"/>
    <w:multiLevelType w:val="hybridMultilevel"/>
    <w:tmpl w:val="818C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772F27"/>
    <w:multiLevelType w:val="hybridMultilevel"/>
    <w:tmpl w:val="620C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FD28C9"/>
    <w:multiLevelType w:val="hybridMultilevel"/>
    <w:tmpl w:val="4726C9D6"/>
    <w:lvl w:ilvl="0" w:tplc="A5F642C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E42CBD"/>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D3228"/>
    <w:multiLevelType w:val="hybridMultilevel"/>
    <w:tmpl w:val="8AE62FA0"/>
    <w:lvl w:ilvl="0" w:tplc="78B2A824">
      <w:start w:val="1"/>
      <w:numFmt w:val="bullet"/>
      <w:pStyle w:val="TableBullets"/>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6E51A0B"/>
    <w:multiLevelType w:val="multilevel"/>
    <w:tmpl w:val="0144D6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Light" w:eastAsiaTheme="majorEastAsia" w:hAnsi="Calibri Light" w:cs="Calibri Light"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81A39"/>
    <w:multiLevelType w:val="hybridMultilevel"/>
    <w:tmpl w:val="6AD60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D015E"/>
    <w:multiLevelType w:val="hybridMultilevel"/>
    <w:tmpl w:val="643CC5D6"/>
    <w:lvl w:ilvl="0" w:tplc="15C473CA">
      <w:start w:val="1"/>
      <w:numFmt w:val="bullet"/>
      <w:pStyle w:val="ListParagraph"/>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4F4517"/>
    <w:multiLevelType w:val="hybridMultilevel"/>
    <w:tmpl w:val="9A261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4D0147"/>
    <w:multiLevelType w:val="hybridMultilevel"/>
    <w:tmpl w:val="4432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2"/>
  </w:num>
  <w:num w:numId="5">
    <w:abstractNumId w:val="16"/>
  </w:num>
  <w:num w:numId="6">
    <w:abstractNumId w:val="15"/>
  </w:num>
  <w:num w:numId="7">
    <w:abstractNumId w:val="1"/>
  </w:num>
  <w:num w:numId="8">
    <w:abstractNumId w:val="14"/>
  </w:num>
  <w:num w:numId="9">
    <w:abstractNumId w:val="10"/>
  </w:num>
  <w:num w:numId="10">
    <w:abstractNumId w:val="6"/>
  </w:num>
  <w:num w:numId="11">
    <w:abstractNumId w:val="13"/>
  </w:num>
  <w:num w:numId="12">
    <w:abstractNumId w:val="4"/>
  </w:num>
  <w:num w:numId="13">
    <w:abstractNumId w:val="3"/>
  </w:num>
  <w:num w:numId="14">
    <w:abstractNumId w:val="7"/>
  </w:num>
  <w:num w:numId="15">
    <w:abstractNumId w:val="2"/>
  </w:num>
  <w:num w:numId="16">
    <w:abstractNumId w:val="11"/>
  </w:num>
  <w:num w:numId="17">
    <w:abstractNumId w:val="17"/>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5zedf5t2pw5je9x5t5sttq2w0es9dzzvsr&quot;&gt;O&amp;amp;M Library-Converted&lt;record-ids&gt;&lt;item&gt;4&lt;/item&gt;&lt;item&gt;102&lt;/item&gt;&lt;item&gt;160&lt;/item&gt;&lt;item&gt;594&lt;/item&gt;&lt;item&gt;595&lt;/item&gt;&lt;item&gt;607&lt;/item&gt;&lt;item&gt;997&lt;/item&gt;&lt;item&gt;1534&lt;/item&gt;&lt;item&gt;1692&lt;/item&gt;&lt;item&gt;1693&lt;/item&gt;&lt;item&gt;1721&lt;/item&gt;&lt;item&gt;1724&lt;/item&gt;&lt;item&gt;1725&lt;/item&gt;&lt;item&gt;1726&lt;/item&gt;&lt;item&gt;1727&lt;/item&gt;&lt;item&gt;1728&lt;/item&gt;&lt;item&gt;1729&lt;/item&gt;&lt;item&gt;1730&lt;/item&gt;&lt;item&gt;1731&lt;/item&gt;&lt;item&gt;1732&lt;/item&gt;&lt;item&gt;1733&lt;/item&gt;&lt;item&gt;1734&lt;/item&gt;&lt;item&gt;1735&lt;/item&gt;&lt;item&gt;1736&lt;/item&gt;&lt;item&gt;1741&lt;/item&gt;&lt;item&gt;1742&lt;/item&gt;&lt;item&gt;1743&lt;/item&gt;&lt;item&gt;1751&lt;/item&gt;&lt;/record-ids&gt;&lt;/item&gt;&lt;/Libraries&gt;"/>
  </w:docVars>
  <w:rsids>
    <w:rsidRoot w:val="00EE7F3B"/>
    <w:rsid w:val="000038B7"/>
    <w:rsid w:val="000046A8"/>
    <w:rsid w:val="000106BA"/>
    <w:rsid w:val="00012A84"/>
    <w:rsid w:val="000133CD"/>
    <w:rsid w:val="00016620"/>
    <w:rsid w:val="00023143"/>
    <w:rsid w:val="00024A90"/>
    <w:rsid w:val="0002646B"/>
    <w:rsid w:val="0002715C"/>
    <w:rsid w:val="00031544"/>
    <w:rsid w:val="00031F7F"/>
    <w:rsid w:val="000329AC"/>
    <w:rsid w:val="00033750"/>
    <w:rsid w:val="00042722"/>
    <w:rsid w:val="0004384D"/>
    <w:rsid w:val="00043C12"/>
    <w:rsid w:val="00044BC7"/>
    <w:rsid w:val="000454AE"/>
    <w:rsid w:val="00045C26"/>
    <w:rsid w:val="00050003"/>
    <w:rsid w:val="0005180F"/>
    <w:rsid w:val="00061D0E"/>
    <w:rsid w:val="00064DB1"/>
    <w:rsid w:val="00070D22"/>
    <w:rsid w:val="000712B7"/>
    <w:rsid w:val="00071C3D"/>
    <w:rsid w:val="00073722"/>
    <w:rsid w:val="00073F93"/>
    <w:rsid w:val="00075049"/>
    <w:rsid w:val="000755BF"/>
    <w:rsid w:val="000875BF"/>
    <w:rsid w:val="00090CA0"/>
    <w:rsid w:val="0009541F"/>
    <w:rsid w:val="000A30CB"/>
    <w:rsid w:val="000A390A"/>
    <w:rsid w:val="000A6BAC"/>
    <w:rsid w:val="000B1B57"/>
    <w:rsid w:val="000B6776"/>
    <w:rsid w:val="000C2D3E"/>
    <w:rsid w:val="000C313F"/>
    <w:rsid w:val="000C436E"/>
    <w:rsid w:val="000C6429"/>
    <w:rsid w:val="000D0443"/>
    <w:rsid w:val="000D06EB"/>
    <w:rsid w:val="000E2AB1"/>
    <w:rsid w:val="000F4665"/>
    <w:rsid w:val="000F5EDD"/>
    <w:rsid w:val="00100F18"/>
    <w:rsid w:val="00103729"/>
    <w:rsid w:val="00103F20"/>
    <w:rsid w:val="00106114"/>
    <w:rsid w:val="00113135"/>
    <w:rsid w:val="00117DBD"/>
    <w:rsid w:val="001221E6"/>
    <w:rsid w:val="00123564"/>
    <w:rsid w:val="0012488E"/>
    <w:rsid w:val="001261AB"/>
    <w:rsid w:val="001330D8"/>
    <w:rsid w:val="00134163"/>
    <w:rsid w:val="00137294"/>
    <w:rsid w:val="00137DC8"/>
    <w:rsid w:val="001431ED"/>
    <w:rsid w:val="001448DB"/>
    <w:rsid w:val="00145362"/>
    <w:rsid w:val="001473D1"/>
    <w:rsid w:val="00154CC0"/>
    <w:rsid w:val="00160041"/>
    <w:rsid w:val="0016061E"/>
    <w:rsid w:val="001626A3"/>
    <w:rsid w:val="001662F9"/>
    <w:rsid w:val="001710CB"/>
    <w:rsid w:val="00180AF4"/>
    <w:rsid w:val="00182551"/>
    <w:rsid w:val="001851C6"/>
    <w:rsid w:val="00190883"/>
    <w:rsid w:val="0019171B"/>
    <w:rsid w:val="00192A7A"/>
    <w:rsid w:val="00196432"/>
    <w:rsid w:val="001A21B2"/>
    <w:rsid w:val="001A6215"/>
    <w:rsid w:val="001A636F"/>
    <w:rsid w:val="001A6F68"/>
    <w:rsid w:val="001A7F58"/>
    <w:rsid w:val="001B004C"/>
    <w:rsid w:val="001B7E59"/>
    <w:rsid w:val="001C07E2"/>
    <w:rsid w:val="001C23A3"/>
    <w:rsid w:val="001C6865"/>
    <w:rsid w:val="001D6269"/>
    <w:rsid w:val="001D7D6A"/>
    <w:rsid w:val="001E0B1B"/>
    <w:rsid w:val="001E5870"/>
    <w:rsid w:val="001E59D8"/>
    <w:rsid w:val="001E7486"/>
    <w:rsid w:val="001F0202"/>
    <w:rsid w:val="001F224D"/>
    <w:rsid w:val="001F7380"/>
    <w:rsid w:val="0020061F"/>
    <w:rsid w:val="00201DB2"/>
    <w:rsid w:val="00204F44"/>
    <w:rsid w:val="002169B6"/>
    <w:rsid w:val="00222C7C"/>
    <w:rsid w:val="00224E17"/>
    <w:rsid w:val="00224EF7"/>
    <w:rsid w:val="00231484"/>
    <w:rsid w:val="00241203"/>
    <w:rsid w:val="002461F1"/>
    <w:rsid w:val="00251794"/>
    <w:rsid w:val="00252436"/>
    <w:rsid w:val="0025428E"/>
    <w:rsid w:val="002665B8"/>
    <w:rsid w:val="00270E73"/>
    <w:rsid w:val="00272781"/>
    <w:rsid w:val="0027345D"/>
    <w:rsid w:val="00275883"/>
    <w:rsid w:val="00276614"/>
    <w:rsid w:val="00276A42"/>
    <w:rsid w:val="002819FF"/>
    <w:rsid w:val="00281A36"/>
    <w:rsid w:val="00283038"/>
    <w:rsid w:val="00287FC8"/>
    <w:rsid w:val="00291FC9"/>
    <w:rsid w:val="00293F12"/>
    <w:rsid w:val="002A0160"/>
    <w:rsid w:val="002A671C"/>
    <w:rsid w:val="002B413E"/>
    <w:rsid w:val="002B5B9F"/>
    <w:rsid w:val="002B736D"/>
    <w:rsid w:val="002C2292"/>
    <w:rsid w:val="002C3B68"/>
    <w:rsid w:val="002C3CF4"/>
    <w:rsid w:val="002C734E"/>
    <w:rsid w:val="002D1E21"/>
    <w:rsid w:val="002D2572"/>
    <w:rsid w:val="002D300E"/>
    <w:rsid w:val="002D578A"/>
    <w:rsid w:val="002D66B0"/>
    <w:rsid w:val="002E1084"/>
    <w:rsid w:val="002E200E"/>
    <w:rsid w:val="002E4B2C"/>
    <w:rsid w:val="002E7BBC"/>
    <w:rsid w:val="002F1212"/>
    <w:rsid w:val="002F17C8"/>
    <w:rsid w:val="002F1C23"/>
    <w:rsid w:val="002F21B8"/>
    <w:rsid w:val="002F3903"/>
    <w:rsid w:val="002F759F"/>
    <w:rsid w:val="00302C36"/>
    <w:rsid w:val="003055D0"/>
    <w:rsid w:val="00305E5F"/>
    <w:rsid w:val="003104EF"/>
    <w:rsid w:val="0031193E"/>
    <w:rsid w:val="00311E0F"/>
    <w:rsid w:val="003228DE"/>
    <w:rsid w:val="003251B4"/>
    <w:rsid w:val="0033063D"/>
    <w:rsid w:val="00340F1C"/>
    <w:rsid w:val="003414AA"/>
    <w:rsid w:val="00341689"/>
    <w:rsid w:val="003425FA"/>
    <w:rsid w:val="0034378A"/>
    <w:rsid w:val="00343B34"/>
    <w:rsid w:val="00346238"/>
    <w:rsid w:val="00346261"/>
    <w:rsid w:val="003475B0"/>
    <w:rsid w:val="003477A8"/>
    <w:rsid w:val="003540B5"/>
    <w:rsid w:val="003541F0"/>
    <w:rsid w:val="00355665"/>
    <w:rsid w:val="003610EF"/>
    <w:rsid w:val="00365EF2"/>
    <w:rsid w:val="003740C2"/>
    <w:rsid w:val="0037413C"/>
    <w:rsid w:val="00374F4F"/>
    <w:rsid w:val="00392BB8"/>
    <w:rsid w:val="00393446"/>
    <w:rsid w:val="003A2226"/>
    <w:rsid w:val="003A2819"/>
    <w:rsid w:val="003A4535"/>
    <w:rsid w:val="003A5308"/>
    <w:rsid w:val="003A6F64"/>
    <w:rsid w:val="003B1D95"/>
    <w:rsid w:val="003B1F2D"/>
    <w:rsid w:val="003B2343"/>
    <w:rsid w:val="003B36BB"/>
    <w:rsid w:val="003B4A7B"/>
    <w:rsid w:val="003B776C"/>
    <w:rsid w:val="003B7BBE"/>
    <w:rsid w:val="003B7D78"/>
    <w:rsid w:val="003C1CDD"/>
    <w:rsid w:val="003C603D"/>
    <w:rsid w:val="003D0440"/>
    <w:rsid w:val="003D1FA7"/>
    <w:rsid w:val="003D2D5F"/>
    <w:rsid w:val="003D6E44"/>
    <w:rsid w:val="003D72E3"/>
    <w:rsid w:val="003D7DB9"/>
    <w:rsid w:val="003E17FA"/>
    <w:rsid w:val="003E19AE"/>
    <w:rsid w:val="003E6324"/>
    <w:rsid w:val="003F0A03"/>
    <w:rsid w:val="003F52FB"/>
    <w:rsid w:val="003F56F0"/>
    <w:rsid w:val="00401AFE"/>
    <w:rsid w:val="004039B5"/>
    <w:rsid w:val="0040697A"/>
    <w:rsid w:val="00407845"/>
    <w:rsid w:val="004101A5"/>
    <w:rsid w:val="004129C4"/>
    <w:rsid w:val="004140B1"/>
    <w:rsid w:val="0041452F"/>
    <w:rsid w:val="00417851"/>
    <w:rsid w:val="00417D9E"/>
    <w:rsid w:val="0043012B"/>
    <w:rsid w:val="004307C1"/>
    <w:rsid w:val="0043251B"/>
    <w:rsid w:val="0043590F"/>
    <w:rsid w:val="004360EC"/>
    <w:rsid w:val="0044277E"/>
    <w:rsid w:val="0044368F"/>
    <w:rsid w:val="00445EAA"/>
    <w:rsid w:val="00454009"/>
    <w:rsid w:val="0045459F"/>
    <w:rsid w:val="004628A9"/>
    <w:rsid w:val="00462FEA"/>
    <w:rsid w:val="00464EAF"/>
    <w:rsid w:val="00466992"/>
    <w:rsid w:val="004723FC"/>
    <w:rsid w:val="004748D3"/>
    <w:rsid w:val="00480F67"/>
    <w:rsid w:val="004826BA"/>
    <w:rsid w:val="00482FF8"/>
    <w:rsid w:val="00483C83"/>
    <w:rsid w:val="00490BE3"/>
    <w:rsid w:val="00490C67"/>
    <w:rsid w:val="00493561"/>
    <w:rsid w:val="00493C29"/>
    <w:rsid w:val="00496B81"/>
    <w:rsid w:val="004975D7"/>
    <w:rsid w:val="00497DF8"/>
    <w:rsid w:val="004A10A5"/>
    <w:rsid w:val="004A128F"/>
    <w:rsid w:val="004A1879"/>
    <w:rsid w:val="004A4A65"/>
    <w:rsid w:val="004A5A7C"/>
    <w:rsid w:val="004A63AA"/>
    <w:rsid w:val="004A7FE2"/>
    <w:rsid w:val="004B4E0E"/>
    <w:rsid w:val="004B74E9"/>
    <w:rsid w:val="004C22BC"/>
    <w:rsid w:val="004C723D"/>
    <w:rsid w:val="004D0317"/>
    <w:rsid w:val="004D3374"/>
    <w:rsid w:val="004D40D1"/>
    <w:rsid w:val="004D5E24"/>
    <w:rsid w:val="004F1998"/>
    <w:rsid w:val="004F1A1E"/>
    <w:rsid w:val="004F3D1F"/>
    <w:rsid w:val="004F4212"/>
    <w:rsid w:val="004F450E"/>
    <w:rsid w:val="004F6472"/>
    <w:rsid w:val="004F7B70"/>
    <w:rsid w:val="00500B6B"/>
    <w:rsid w:val="00502A29"/>
    <w:rsid w:val="00504567"/>
    <w:rsid w:val="00504A77"/>
    <w:rsid w:val="00505265"/>
    <w:rsid w:val="00506E04"/>
    <w:rsid w:val="005154D7"/>
    <w:rsid w:val="00516B3D"/>
    <w:rsid w:val="005173FD"/>
    <w:rsid w:val="00525621"/>
    <w:rsid w:val="00532A1C"/>
    <w:rsid w:val="00534488"/>
    <w:rsid w:val="00534E6C"/>
    <w:rsid w:val="00535A5C"/>
    <w:rsid w:val="00536C93"/>
    <w:rsid w:val="0054433A"/>
    <w:rsid w:val="005445ED"/>
    <w:rsid w:val="00547518"/>
    <w:rsid w:val="00553E08"/>
    <w:rsid w:val="00554A72"/>
    <w:rsid w:val="005554FD"/>
    <w:rsid w:val="005573DF"/>
    <w:rsid w:val="00562A13"/>
    <w:rsid w:val="00564460"/>
    <w:rsid w:val="00565806"/>
    <w:rsid w:val="00567CF6"/>
    <w:rsid w:val="00573EF8"/>
    <w:rsid w:val="00574FA5"/>
    <w:rsid w:val="00575D6F"/>
    <w:rsid w:val="00576980"/>
    <w:rsid w:val="00585135"/>
    <w:rsid w:val="00590DA7"/>
    <w:rsid w:val="005956BC"/>
    <w:rsid w:val="00595AC2"/>
    <w:rsid w:val="005A3DAF"/>
    <w:rsid w:val="005A45D1"/>
    <w:rsid w:val="005A46F5"/>
    <w:rsid w:val="005B23DE"/>
    <w:rsid w:val="005B336F"/>
    <w:rsid w:val="005B39BB"/>
    <w:rsid w:val="005B54E6"/>
    <w:rsid w:val="005B6CF7"/>
    <w:rsid w:val="005C2981"/>
    <w:rsid w:val="005C6327"/>
    <w:rsid w:val="005E1A09"/>
    <w:rsid w:val="005F0CD3"/>
    <w:rsid w:val="005F2152"/>
    <w:rsid w:val="005F7651"/>
    <w:rsid w:val="005F7DA8"/>
    <w:rsid w:val="00600819"/>
    <w:rsid w:val="006012F3"/>
    <w:rsid w:val="00611BF5"/>
    <w:rsid w:val="00613AA2"/>
    <w:rsid w:val="00617877"/>
    <w:rsid w:val="00617C23"/>
    <w:rsid w:val="00621D31"/>
    <w:rsid w:val="00622D67"/>
    <w:rsid w:val="0062386A"/>
    <w:rsid w:val="00623BB4"/>
    <w:rsid w:val="00630854"/>
    <w:rsid w:val="00632AD8"/>
    <w:rsid w:val="00633235"/>
    <w:rsid w:val="00636E18"/>
    <w:rsid w:val="006376D1"/>
    <w:rsid w:val="00637DAE"/>
    <w:rsid w:val="00641173"/>
    <w:rsid w:val="006415AE"/>
    <w:rsid w:val="00641AE5"/>
    <w:rsid w:val="00644578"/>
    <w:rsid w:val="00644E71"/>
    <w:rsid w:val="006500D1"/>
    <w:rsid w:val="006507CB"/>
    <w:rsid w:val="0065155D"/>
    <w:rsid w:val="006577F1"/>
    <w:rsid w:val="00657815"/>
    <w:rsid w:val="006579B2"/>
    <w:rsid w:val="0066032E"/>
    <w:rsid w:val="00660F5F"/>
    <w:rsid w:val="00664D1F"/>
    <w:rsid w:val="0067169F"/>
    <w:rsid w:val="00673265"/>
    <w:rsid w:val="006740D3"/>
    <w:rsid w:val="00676EA4"/>
    <w:rsid w:val="006804E2"/>
    <w:rsid w:val="00681A0A"/>
    <w:rsid w:val="00685002"/>
    <w:rsid w:val="00686AD5"/>
    <w:rsid w:val="00690211"/>
    <w:rsid w:val="006942CC"/>
    <w:rsid w:val="0069445A"/>
    <w:rsid w:val="006A0FC1"/>
    <w:rsid w:val="006A3772"/>
    <w:rsid w:val="006A683E"/>
    <w:rsid w:val="006B0F9B"/>
    <w:rsid w:val="006B429D"/>
    <w:rsid w:val="006C2731"/>
    <w:rsid w:val="006C6F3E"/>
    <w:rsid w:val="006D02DC"/>
    <w:rsid w:val="006D442E"/>
    <w:rsid w:val="006D4E2C"/>
    <w:rsid w:val="006E3FDF"/>
    <w:rsid w:val="006E6BD9"/>
    <w:rsid w:val="006F38C0"/>
    <w:rsid w:val="006F3F9E"/>
    <w:rsid w:val="006F773B"/>
    <w:rsid w:val="00703ACD"/>
    <w:rsid w:val="007130C2"/>
    <w:rsid w:val="007146BC"/>
    <w:rsid w:val="00714C5E"/>
    <w:rsid w:val="00715878"/>
    <w:rsid w:val="0071630A"/>
    <w:rsid w:val="00721ED8"/>
    <w:rsid w:val="00733028"/>
    <w:rsid w:val="00733909"/>
    <w:rsid w:val="007340CE"/>
    <w:rsid w:val="00735B23"/>
    <w:rsid w:val="007408BD"/>
    <w:rsid w:val="0074328B"/>
    <w:rsid w:val="0074685E"/>
    <w:rsid w:val="0074691A"/>
    <w:rsid w:val="00752B6F"/>
    <w:rsid w:val="00753295"/>
    <w:rsid w:val="0075627D"/>
    <w:rsid w:val="00760A51"/>
    <w:rsid w:val="0077043D"/>
    <w:rsid w:val="00773EBC"/>
    <w:rsid w:val="00777F98"/>
    <w:rsid w:val="007844AF"/>
    <w:rsid w:val="00785307"/>
    <w:rsid w:val="007857E4"/>
    <w:rsid w:val="00792247"/>
    <w:rsid w:val="00792F23"/>
    <w:rsid w:val="007960DB"/>
    <w:rsid w:val="007A2E75"/>
    <w:rsid w:val="007A57DB"/>
    <w:rsid w:val="007A7206"/>
    <w:rsid w:val="007B7EA9"/>
    <w:rsid w:val="007C0AAA"/>
    <w:rsid w:val="007C2C57"/>
    <w:rsid w:val="007C442F"/>
    <w:rsid w:val="007C4EA3"/>
    <w:rsid w:val="007C59B4"/>
    <w:rsid w:val="007E2880"/>
    <w:rsid w:val="007E3DC9"/>
    <w:rsid w:val="007E4708"/>
    <w:rsid w:val="007E56C4"/>
    <w:rsid w:val="007E6BA8"/>
    <w:rsid w:val="007E7338"/>
    <w:rsid w:val="007F002C"/>
    <w:rsid w:val="007F2262"/>
    <w:rsid w:val="007F4353"/>
    <w:rsid w:val="007F69AB"/>
    <w:rsid w:val="00803D4C"/>
    <w:rsid w:val="008054E8"/>
    <w:rsid w:val="008056AB"/>
    <w:rsid w:val="00812D05"/>
    <w:rsid w:val="00812FE7"/>
    <w:rsid w:val="008153F2"/>
    <w:rsid w:val="0082161A"/>
    <w:rsid w:val="008217C0"/>
    <w:rsid w:val="00822BB6"/>
    <w:rsid w:val="00825AD7"/>
    <w:rsid w:val="00826242"/>
    <w:rsid w:val="008306BD"/>
    <w:rsid w:val="0083145C"/>
    <w:rsid w:val="00841B37"/>
    <w:rsid w:val="00846569"/>
    <w:rsid w:val="008519D5"/>
    <w:rsid w:val="00851E36"/>
    <w:rsid w:val="008608F2"/>
    <w:rsid w:val="00862A44"/>
    <w:rsid w:val="00863813"/>
    <w:rsid w:val="008652D6"/>
    <w:rsid w:val="00866B2E"/>
    <w:rsid w:val="00871CA3"/>
    <w:rsid w:val="00884A5C"/>
    <w:rsid w:val="00884BEE"/>
    <w:rsid w:val="00887410"/>
    <w:rsid w:val="00890EC2"/>
    <w:rsid w:val="00891F07"/>
    <w:rsid w:val="00893D82"/>
    <w:rsid w:val="00895101"/>
    <w:rsid w:val="00897C8C"/>
    <w:rsid w:val="008A7569"/>
    <w:rsid w:val="008A78AB"/>
    <w:rsid w:val="008B2C0F"/>
    <w:rsid w:val="008C11D2"/>
    <w:rsid w:val="008C2035"/>
    <w:rsid w:val="008C4F66"/>
    <w:rsid w:val="008C5F43"/>
    <w:rsid w:val="008C62B4"/>
    <w:rsid w:val="008C6489"/>
    <w:rsid w:val="008D03A6"/>
    <w:rsid w:val="008D0D0F"/>
    <w:rsid w:val="008D0E17"/>
    <w:rsid w:val="008D1731"/>
    <w:rsid w:val="008D47A3"/>
    <w:rsid w:val="008D4C1A"/>
    <w:rsid w:val="008D5CBA"/>
    <w:rsid w:val="008D79B0"/>
    <w:rsid w:val="008E1C5D"/>
    <w:rsid w:val="008E3F07"/>
    <w:rsid w:val="008E5058"/>
    <w:rsid w:val="008E55C6"/>
    <w:rsid w:val="008F1424"/>
    <w:rsid w:val="008F17BD"/>
    <w:rsid w:val="008F1BE9"/>
    <w:rsid w:val="008F6BE5"/>
    <w:rsid w:val="00901CC7"/>
    <w:rsid w:val="00903C97"/>
    <w:rsid w:val="00907602"/>
    <w:rsid w:val="00910351"/>
    <w:rsid w:val="00912EB4"/>
    <w:rsid w:val="00914040"/>
    <w:rsid w:val="00914598"/>
    <w:rsid w:val="00921532"/>
    <w:rsid w:val="0092444E"/>
    <w:rsid w:val="00925B5E"/>
    <w:rsid w:val="00926DA8"/>
    <w:rsid w:val="009271A1"/>
    <w:rsid w:val="00932A5B"/>
    <w:rsid w:val="00933061"/>
    <w:rsid w:val="00936C75"/>
    <w:rsid w:val="00946B26"/>
    <w:rsid w:val="00946B54"/>
    <w:rsid w:val="009535D9"/>
    <w:rsid w:val="009540B3"/>
    <w:rsid w:val="00954DB2"/>
    <w:rsid w:val="00955EC7"/>
    <w:rsid w:val="009570A2"/>
    <w:rsid w:val="009610FD"/>
    <w:rsid w:val="00961C69"/>
    <w:rsid w:val="0096551C"/>
    <w:rsid w:val="009715A0"/>
    <w:rsid w:val="00972F13"/>
    <w:rsid w:val="00976BBC"/>
    <w:rsid w:val="009806F2"/>
    <w:rsid w:val="00982A4C"/>
    <w:rsid w:val="009869ED"/>
    <w:rsid w:val="00986AE0"/>
    <w:rsid w:val="00986FDE"/>
    <w:rsid w:val="00987F94"/>
    <w:rsid w:val="0099212F"/>
    <w:rsid w:val="00992885"/>
    <w:rsid w:val="00996041"/>
    <w:rsid w:val="00997269"/>
    <w:rsid w:val="009A0396"/>
    <w:rsid w:val="009A6636"/>
    <w:rsid w:val="009A73CC"/>
    <w:rsid w:val="009A7B81"/>
    <w:rsid w:val="009B015B"/>
    <w:rsid w:val="009B5845"/>
    <w:rsid w:val="009B5E47"/>
    <w:rsid w:val="009B6F17"/>
    <w:rsid w:val="009B7065"/>
    <w:rsid w:val="009C35BA"/>
    <w:rsid w:val="009C3E45"/>
    <w:rsid w:val="009C6891"/>
    <w:rsid w:val="009C7259"/>
    <w:rsid w:val="009C7FA1"/>
    <w:rsid w:val="009D00FF"/>
    <w:rsid w:val="009D45A2"/>
    <w:rsid w:val="009D6253"/>
    <w:rsid w:val="009D73BB"/>
    <w:rsid w:val="009E3B5B"/>
    <w:rsid w:val="009E3D74"/>
    <w:rsid w:val="009E7B3F"/>
    <w:rsid w:val="009F0395"/>
    <w:rsid w:val="009F0925"/>
    <w:rsid w:val="009F2402"/>
    <w:rsid w:val="009F358D"/>
    <w:rsid w:val="009F4D43"/>
    <w:rsid w:val="00A03515"/>
    <w:rsid w:val="00A0574D"/>
    <w:rsid w:val="00A05DD2"/>
    <w:rsid w:val="00A143BB"/>
    <w:rsid w:val="00A21FCB"/>
    <w:rsid w:val="00A26018"/>
    <w:rsid w:val="00A3017C"/>
    <w:rsid w:val="00A35B80"/>
    <w:rsid w:val="00A44DCE"/>
    <w:rsid w:val="00A46902"/>
    <w:rsid w:val="00A479C9"/>
    <w:rsid w:val="00A50429"/>
    <w:rsid w:val="00A56D74"/>
    <w:rsid w:val="00A6156F"/>
    <w:rsid w:val="00A633B4"/>
    <w:rsid w:val="00A66D5B"/>
    <w:rsid w:val="00A75508"/>
    <w:rsid w:val="00A82859"/>
    <w:rsid w:val="00A84C91"/>
    <w:rsid w:val="00A86575"/>
    <w:rsid w:val="00A9432D"/>
    <w:rsid w:val="00A965F7"/>
    <w:rsid w:val="00A9725C"/>
    <w:rsid w:val="00AA0678"/>
    <w:rsid w:val="00AA0791"/>
    <w:rsid w:val="00AA23B8"/>
    <w:rsid w:val="00AA4B5B"/>
    <w:rsid w:val="00AA532E"/>
    <w:rsid w:val="00AA6D2D"/>
    <w:rsid w:val="00AB1DCB"/>
    <w:rsid w:val="00AB2AD2"/>
    <w:rsid w:val="00AB4F47"/>
    <w:rsid w:val="00AB5E22"/>
    <w:rsid w:val="00AB6CD3"/>
    <w:rsid w:val="00AC1E14"/>
    <w:rsid w:val="00AC25EA"/>
    <w:rsid w:val="00AC5B53"/>
    <w:rsid w:val="00AC5F75"/>
    <w:rsid w:val="00AD65B5"/>
    <w:rsid w:val="00AE27F6"/>
    <w:rsid w:val="00AE45BD"/>
    <w:rsid w:val="00AF0CE6"/>
    <w:rsid w:val="00AF1BBD"/>
    <w:rsid w:val="00AF23F2"/>
    <w:rsid w:val="00AF431A"/>
    <w:rsid w:val="00AF4E44"/>
    <w:rsid w:val="00AF6B3E"/>
    <w:rsid w:val="00B00955"/>
    <w:rsid w:val="00B032A1"/>
    <w:rsid w:val="00B05E85"/>
    <w:rsid w:val="00B11407"/>
    <w:rsid w:val="00B2330F"/>
    <w:rsid w:val="00B2445D"/>
    <w:rsid w:val="00B24853"/>
    <w:rsid w:val="00B24AA1"/>
    <w:rsid w:val="00B30A05"/>
    <w:rsid w:val="00B32EF5"/>
    <w:rsid w:val="00B32FA2"/>
    <w:rsid w:val="00B35C49"/>
    <w:rsid w:val="00B42972"/>
    <w:rsid w:val="00B44098"/>
    <w:rsid w:val="00B4611A"/>
    <w:rsid w:val="00B471CB"/>
    <w:rsid w:val="00B4740C"/>
    <w:rsid w:val="00B477F6"/>
    <w:rsid w:val="00B545B2"/>
    <w:rsid w:val="00B547BF"/>
    <w:rsid w:val="00B622D3"/>
    <w:rsid w:val="00B635ED"/>
    <w:rsid w:val="00B7002F"/>
    <w:rsid w:val="00B819B8"/>
    <w:rsid w:val="00B822D2"/>
    <w:rsid w:val="00B866B3"/>
    <w:rsid w:val="00B90775"/>
    <w:rsid w:val="00B945E2"/>
    <w:rsid w:val="00B94D6D"/>
    <w:rsid w:val="00B94D6E"/>
    <w:rsid w:val="00B95873"/>
    <w:rsid w:val="00B97327"/>
    <w:rsid w:val="00BA5381"/>
    <w:rsid w:val="00BA63D0"/>
    <w:rsid w:val="00BA7A85"/>
    <w:rsid w:val="00BB45A4"/>
    <w:rsid w:val="00BC1FAE"/>
    <w:rsid w:val="00BC7293"/>
    <w:rsid w:val="00BD1401"/>
    <w:rsid w:val="00BE3281"/>
    <w:rsid w:val="00BF01B1"/>
    <w:rsid w:val="00BF4347"/>
    <w:rsid w:val="00BF5DF8"/>
    <w:rsid w:val="00C010F8"/>
    <w:rsid w:val="00C0450E"/>
    <w:rsid w:val="00C071BA"/>
    <w:rsid w:val="00C1043E"/>
    <w:rsid w:val="00C10B77"/>
    <w:rsid w:val="00C10C1F"/>
    <w:rsid w:val="00C158D4"/>
    <w:rsid w:val="00C15C8B"/>
    <w:rsid w:val="00C315E1"/>
    <w:rsid w:val="00C348B4"/>
    <w:rsid w:val="00C35BD0"/>
    <w:rsid w:val="00C445A0"/>
    <w:rsid w:val="00C45F66"/>
    <w:rsid w:val="00C4603A"/>
    <w:rsid w:val="00C47E24"/>
    <w:rsid w:val="00C51165"/>
    <w:rsid w:val="00C5398D"/>
    <w:rsid w:val="00C5492A"/>
    <w:rsid w:val="00C61C6C"/>
    <w:rsid w:val="00C65275"/>
    <w:rsid w:val="00C652F3"/>
    <w:rsid w:val="00C71798"/>
    <w:rsid w:val="00C7299C"/>
    <w:rsid w:val="00C75FA6"/>
    <w:rsid w:val="00C77D17"/>
    <w:rsid w:val="00C82398"/>
    <w:rsid w:val="00C9045C"/>
    <w:rsid w:val="00C91509"/>
    <w:rsid w:val="00C928A9"/>
    <w:rsid w:val="00C96C3C"/>
    <w:rsid w:val="00C97B72"/>
    <w:rsid w:val="00CA404F"/>
    <w:rsid w:val="00CB7B0C"/>
    <w:rsid w:val="00CC108F"/>
    <w:rsid w:val="00CC230C"/>
    <w:rsid w:val="00CD122F"/>
    <w:rsid w:val="00CD210E"/>
    <w:rsid w:val="00CD6E9D"/>
    <w:rsid w:val="00CE10E0"/>
    <w:rsid w:val="00CE1209"/>
    <w:rsid w:val="00CE1377"/>
    <w:rsid w:val="00CE20AB"/>
    <w:rsid w:val="00CE2CDE"/>
    <w:rsid w:val="00CE3F7D"/>
    <w:rsid w:val="00CF17CF"/>
    <w:rsid w:val="00CF6444"/>
    <w:rsid w:val="00D00A31"/>
    <w:rsid w:val="00D00A40"/>
    <w:rsid w:val="00D12451"/>
    <w:rsid w:val="00D1401A"/>
    <w:rsid w:val="00D15157"/>
    <w:rsid w:val="00D15E65"/>
    <w:rsid w:val="00D16745"/>
    <w:rsid w:val="00D17330"/>
    <w:rsid w:val="00D17789"/>
    <w:rsid w:val="00D247BA"/>
    <w:rsid w:val="00D24CF1"/>
    <w:rsid w:val="00D27BFE"/>
    <w:rsid w:val="00D32F50"/>
    <w:rsid w:val="00D3495A"/>
    <w:rsid w:val="00D37C26"/>
    <w:rsid w:val="00D40BB3"/>
    <w:rsid w:val="00D40D27"/>
    <w:rsid w:val="00D41F41"/>
    <w:rsid w:val="00D4246F"/>
    <w:rsid w:val="00D4273F"/>
    <w:rsid w:val="00D456C0"/>
    <w:rsid w:val="00D46A90"/>
    <w:rsid w:val="00D52307"/>
    <w:rsid w:val="00D54A64"/>
    <w:rsid w:val="00D5563F"/>
    <w:rsid w:val="00D556E2"/>
    <w:rsid w:val="00D60EA7"/>
    <w:rsid w:val="00D6284C"/>
    <w:rsid w:val="00D71C2A"/>
    <w:rsid w:val="00D71D69"/>
    <w:rsid w:val="00D7274F"/>
    <w:rsid w:val="00D77911"/>
    <w:rsid w:val="00D90BF5"/>
    <w:rsid w:val="00D90FE5"/>
    <w:rsid w:val="00D95A44"/>
    <w:rsid w:val="00D95E6B"/>
    <w:rsid w:val="00DA5308"/>
    <w:rsid w:val="00DA7645"/>
    <w:rsid w:val="00DA7945"/>
    <w:rsid w:val="00DB05B5"/>
    <w:rsid w:val="00DB1C8A"/>
    <w:rsid w:val="00DB1D11"/>
    <w:rsid w:val="00DB4E8D"/>
    <w:rsid w:val="00DB53D4"/>
    <w:rsid w:val="00DB5835"/>
    <w:rsid w:val="00DB70A3"/>
    <w:rsid w:val="00DC105E"/>
    <w:rsid w:val="00DC1A7A"/>
    <w:rsid w:val="00DC4365"/>
    <w:rsid w:val="00DC521B"/>
    <w:rsid w:val="00DC6084"/>
    <w:rsid w:val="00DC7F34"/>
    <w:rsid w:val="00DD383D"/>
    <w:rsid w:val="00DD3DDB"/>
    <w:rsid w:val="00DD4591"/>
    <w:rsid w:val="00DD50C5"/>
    <w:rsid w:val="00DD576F"/>
    <w:rsid w:val="00DD7108"/>
    <w:rsid w:val="00DE24E0"/>
    <w:rsid w:val="00DE6972"/>
    <w:rsid w:val="00DF363F"/>
    <w:rsid w:val="00DF4ABB"/>
    <w:rsid w:val="00DF6593"/>
    <w:rsid w:val="00E0047A"/>
    <w:rsid w:val="00E01BAB"/>
    <w:rsid w:val="00E0698E"/>
    <w:rsid w:val="00E1183C"/>
    <w:rsid w:val="00E13EA2"/>
    <w:rsid w:val="00E15C24"/>
    <w:rsid w:val="00E17AE3"/>
    <w:rsid w:val="00E240BF"/>
    <w:rsid w:val="00E27E45"/>
    <w:rsid w:val="00E337B0"/>
    <w:rsid w:val="00E42EED"/>
    <w:rsid w:val="00E45625"/>
    <w:rsid w:val="00E477C7"/>
    <w:rsid w:val="00E504AB"/>
    <w:rsid w:val="00E50566"/>
    <w:rsid w:val="00E51349"/>
    <w:rsid w:val="00E7025E"/>
    <w:rsid w:val="00E743FD"/>
    <w:rsid w:val="00E74989"/>
    <w:rsid w:val="00E76C18"/>
    <w:rsid w:val="00E774F8"/>
    <w:rsid w:val="00E834BD"/>
    <w:rsid w:val="00E83A24"/>
    <w:rsid w:val="00E85992"/>
    <w:rsid w:val="00E87A66"/>
    <w:rsid w:val="00E93BE3"/>
    <w:rsid w:val="00E95743"/>
    <w:rsid w:val="00EA1447"/>
    <w:rsid w:val="00EA7D2A"/>
    <w:rsid w:val="00EB0EC6"/>
    <w:rsid w:val="00EB17AF"/>
    <w:rsid w:val="00EB49DC"/>
    <w:rsid w:val="00EC264D"/>
    <w:rsid w:val="00EC3FFE"/>
    <w:rsid w:val="00EC451D"/>
    <w:rsid w:val="00EC61DB"/>
    <w:rsid w:val="00EC679C"/>
    <w:rsid w:val="00ED24F2"/>
    <w:rsid w:val="00ED3A78"/>
    <w:rsid w:val="00ED6C0B"/>
    <w:rsid w:val="00EE11D1"/>
    <w:rsid w:val="00EE312A"/>
    <w:rsid w:val="00EE5D7C"/>
    <w:rsid w:val="00EE7F3B"/>
    <w:rsid w:val="00EF169A"/>
    <w:rsid w:val="00EF2D01"/>
    <w:rsid w:val="00EF6B84"/>
    <w:rsid w:val="00F000D5"/>
    <w:rsid w:val="00F00587"/>
    <w:rsid w:val="00F040BD"/>
    <w:rsid w:val="00F045ED"/>
    <w:rsid w:val="00F04D0A"/>
    <w:rsid w:val="00F05614"/>
    <w:rsid w:val="00F07F8D"/>
    <w:rsid w:val="00F14845"/>
    <w:rsid w:val="00F166FC"/>
    <w:rsid w:val="00F17D84"/>
    <w:rsid w:val="00F20C91"/>
    <w:rsid w:val="00F215FC"/>
    <w:rsid w:val="00F21E17"/>
    <w:rsid w:val="00F23FF2"/>
    <w:rsid w:val="00F26A14"/>
    <w:rsid w:val="00F278AA"/>
    <w:rsid w:val="00F32453"/>
    <w:rsid w:val="00F349E8"/>
    <w:rsid w:val="00F34DD0"/>
    <w:rsid w:val="00F35851"/>
    <w:rsid w:val="00F35A6A"/>
    <w:rsid w:val="00F417F4"/>
    <w:rsid w:val="00F44412"/>
    <w:rsid w:val="00F446D6"/>
    <w:rsid w:val="00F458EA"/>
    <w:rsid w:val="00F51E3A"/>
    <w:rsid w:val="00F52BD6"/>
    <w:rsid w:val="00F55B70"/>
    <w:rsid w:val="00F70292"/>
    <w:rsid w:val="00F75BA3"/>
    <w:rsid w:val="00F76FAB"/>
    <w:rsid w:val="00F8144A"/>
    <w:rsid w:val="00F81500"/>
    <w:rsid w:val="00F8526A"/>
    <w:rsid w:val="00F87FA0"/>
    <w:rsid w:val="00F911BB"/>
    <w:rsid w:val="00F91D9C"/>
    <w:rsid w:val="00FA53F3"/>
    <w:rsid w:val="00FB2592"/>
    <w:rsid w:val="00FB3783"/>
    <w:rsid w:val="00FB3790"/>
    <w:rsid w:val="00FB4305"/>
    <w:rsid w:val="00FB6106"/>
    <w:rsid w:val="00FB7C56"/>
    <w:rsid w:val="00FC14EE"/>
    <w:rsid w:val="00FC159E"/>
    <w:rsid w:val="00FC176A"/>
    <w:rsid w:val="00FC52F4"/>
    <w:rsid w:val="00FC6516"/>
    <w:rsid w:val="00FD06AC"/>
    <w:rsid w:val="00FD180C"/>
    <w:rsid w:val="00FD2890"/>
    <w:rsid w:val="00FD4E80"/>
    <w:rsid w:val="00FD5DB9"/>
    <w:rsid w:val="00FD69CB"/>
    <w:rsid w:val="00FD7507"/>
    <w:rsid w:val="00FD7D47"/>
    <w:rsid w:val="00FE13CB"/>
    <w:rsid w:val="00FE252F"/>
    <w:rsid w:val="00FE688D"/>
    <w:rsid w:val="00FF00FD"/>
    <w:rsid w:val="00FF06EA"/>
    <w:rsid w:val="00FF11B7"/>
    <w:rsid w:val="00FF2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FA87"/>
  <w15:chartTrackingRefBased/>
  <w15:docId w15:val="{97045052-F861-4BDC-B549-F1CAF001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2F"/>
  </w:style>
  <w:style w:type="paragraph" w:styleId="Heading1">
    <w:name w:val="heading 1"/>
    <w:basedOn w:val="Normal"/>
    <w:next w:val="Normal"/>
    <w:link w:val="Heading1Char"/>
    <w:uiPriority w:val="9"/>
    <w:qFormat/>
    <w:rsid w:val="0067169F"/>
    <w:pPr>
      <w:keepNext/>
      <w:keepLines/>
      <w:numPr>
        <w:numId w:val="9"/>
      </w:numPr>
      <w:pBdr>
        <w:bottom w:val="single" w:sz="4" w:space="1" w:color="auto"/>
      </w:pBdr>
      <w:spacing w:before="480" w:after="240"/>
      <w:ind w:left="357" w:hanging="357"/>
      <w:outlineLvl w:val="0"/>
    </w:pPr>
    <w:rPr>
      <w:rFonts w:ascii="Arial" w:eastAsiaTheme="majorEastAsia" w:hAnsi="Arial" w:cs="Arial"/>
      <w:b/>
      <w:bCs/>
      <w:sz w:val="32"/>
      <w:szCs w:val="32"/>
      <w:lang w:val="en-US"/>
    </w:rPr>
  </w:style>
  <w:style w:type="paragraph" w:styleId="Heading2">
    <w:name w:val="heading 2"/>
    <w:basedOn w:val="Normal"/>
    <w:next w:val="Normal"/>
    <w:link w:val="Heading2Char"/>
    <w:unhideWhenUsed/>
    <w:qFormat/>
    <w:rsid w:val="0067169F"/>
    <w:pPr>
      <w:keepNext/>
      <w:spacing w:before="240" w:after="120" w:line="240" w:lineRule="auto"/>
      <w:outlineLvl w:val="1"/>
    </w:pPr>
    <w:rPr>
      <w:rFonts w:ascii="Arial" w:eastAsia="Times New Roman" w:hAnsi="Arial" w:cs="Arial"/>
      <w:b/>
      <w:bCs/>
      <w:color w:val="5C8E3A"/>
      <w:sz w:val="28"/>
      <w:szCs w:val="28"/>
      <w:lang w:val="en-US"/>
      <w14:textFill>
        <w14:solidFill>
          <w14:srgbClr w14:val="5C8E3A">
            <w14:lumMod w14:val="75000"/>
          </w14:srgbClr>
        </w14:solidFill>
      </w14:textFill>
    </w:rPr>
  </w:style>
  <w:style w:type="paragraph" w:styleId="Heading3">
    <w:name w:val="heading 3"/>
    <w:basedOn w:val="Normal"/>
    <w:next w:val="Normal"/>
    <w:link w:val="Heading3Char"/>
    <w:uiPriority w:val="9"/>
    <w:unhideWhenUsed/>
    <w:qFormat/>
    <w:rsid w:val="0067169F"/>
    <w:pPr>
      <w:keepNext/>
      <w:keepLines/>
      <w:spacing w:before="240" w:after="120"/>
      <w:ind w:left="284"/>
      <w:outlineLvl w:val="2"/>
    </w:pPr>
    <w:rPr>
      <w:rFonts w:ascii="Arial" w:eastAsiaTheme="majorEastAsia" w:hAnsi="Arial" w:cs="Arial"/>
      <w:b/>
      <w:bCs/>
      <w:sz w:val="24"/>
      <w:szCs w:val="24"/>
    </w:rPr>
  </w:style>
  <w:style w:type="paragraph" w:styleId="Heading4">
    <w:name w:val="heading 4"/>
    <w:basedOn w:val="Normal"/>
    <w:next w:val="Normal"/>
    <w:link w:val="Heading4Char"/>
    <w:uiPriority w:val="9"/>
    <w:unhideWhenUsed/>
    <w:qFormat/>
    <w:rsid w:val="00A35B80"/>
    <w:pPr>
      <w:keepNext/>
      <w:keepLines/>
      <w:spacing w:before="40" w:after="0"/>
      <w:outlineLvl w:val="3"/>
    </w:pPr>
    <w:rPr>
      <w:rFonts w:asciiTheme="majorHAnsi" w:eastAsiaTheme="majorEastAsia" w:hAnsiTheme="majorHAnsi" w:cstheme="maj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169F"/>
    <w:rPr>
      <w:rFonts w:ascii="Arial" w:eastAsia="Times New Roman" w:hAnsi="Arial" w:cs="Arial"/>
      <w:b/>
      <w:bCs/>
      <w:color w:val="5C8E3A"/>
      <w:sz w:val="28"/>
      <w:szCs w:val="28"/>
      <w:lang w:val="en-US"/>
      <w14:textFill>
        <w14:solidFill>
          <w14:srgbClr w14:val="5C8E3A">
            <w14:lumMod w14:val="75000"/>
          </w14:srgbClr>
        </w14:solidFill>
      </w14:textFill>
    </w:rPr>
  </w:style>
  <w:style w:type="character" w:customStyle="1" w:styleId="Heading1Char">
    <w:name w:val="Heading 1 Char"/>
    <w:basedOn w:val="DefaultParagraphFont"/>
    <w:link w:val="Heading1"/>
    <w:uiPriority w:val="9"/>
    <w:rsid w:val="0067169F"/>
    <w:rPr>
      <w:rFonts w:ascii="Arial" w:eastAsiaTheme="majorEastAsia" w:hAnsi="Arial" w:cs="Arial"/>
      <w:b/>
      <w:bCs/>
      <w:sz w:val="32"/>
      <w:szCs w:val="32"/>
      <w:lang w:val="en-US"/>
    </w:rPr>
  </w:style>
  <w:style w:type="paragraph" w:styleId="Title">
    <w:name w:val="Title"/>
    <w:basedOn w:val="Normal"/>
    <w:next w:val="Normal"/>
    <w:link w:val="TitleChar"/>
    <w:uiPriority w:val="10"/>
    <w:qFormat/>
    <w:rsid w:val="00EE7F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73EF8"/>
    <w:rPr>
      <w:color w:val="0000FF"/>
      <w:u w:val="single"/>
    </w:rPr>
  </w:style>
  <w:style w:type="character" w:customStyle="1" w:styleId="Heading3Char">
    <w:name w:val="Heading 3 Char"/>
    <w:basedOn w:val="DefaultParagraphFont"/>
    <w:link w:val="Heading3"/>
    <w:uiPriority w:val="9"/>
    <w:rsid w:val="0067169F"/>
    <w:rPr>
      <w:rFonts w:ascii="Arial" w:eastAsiaTheme="majorEastAsia" w:hAnsi="Arial" w:cs="Arial"/>
      <w:b/>
      <w:bCs/>
      <w:sz w:val="24"/>
      <w:szCs w:val="24"/>
    </w:rPr>
  </w:style>
  <w:style w:type="paragraph" w:styleId="NormalWeb">
    <w:name w:val="Normal (Web)"/>
    <w:basedOn w:val="Normal"/>
    <w:uiPriority w:val="99"/>
    <w:semiHidden/>
    <w:unhideWhenUsed/>
    <w:rsid w:val="00573E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7169F"/>
    <w:pPr>
      <w:numPr>
        <w:numId w:val="6"/>
      </w:numPr>
      <w:contextualSpacing/>
    </w:pPr>
    <w:rPr>
      <w:rFonts w:ascii="Arial" w:hAnsi="Arial" w:cs="Arial"/>
      <w:sz w:val="24"/>
      <w:szCs w:val="24"/>
      <w:lang w:val="en-US"/>
    </w:rPr>
  </w:style>
  <w:style w:type="paragraph" w:styleId="EndnoteText">
    <w:name w:val="endnote text"/>
    <w:basedOn w:val="Normal"/>
    <w:link w:val="EndnoteTextChar"/>
    <w:uiPriority w:val="99"/>
    <w:unhideWhenUsed/>
    <w:rsid w:val="008056AB"/>
    <w:pPr>
      <w:spacing w:after="0" w:line="240" w:lineRule="auto"/>
    </w:pPr>
    <w:rPr>
      <w:sz w:val="20"/>
      <w:szCs w:val="20"/>
    </w:rPr>
  </w:style>
  <w:style w:type="character" w:customStyle="1" w:styleId="EndnoteTextChar">
    <w:name w:val="Endnote Text Char"/>
    <w:basedOn w:val="DefaultParagraphFont"/>
    <w:link w:val="EndnoteText"/>
    <w:uiPriority w:val="99"/>
    <w:rsid w:val="008056AB"/>
    <w:rPr>
      <w:sz w:val="20"/>
      <w:szCs w:val="20"/>
    </w:rPr>
  </w:style>
  <w:style w:type="character" w:styleId="EndnoteReference">
    <w:name w:val="endnote reference"/>
    <w:basedOn w:val="DefaultParagraphFont"/>
    <w:uiPriority w:val="99"/>
    <w:semiHidden/>
    <w:unhideWhenUsed/>
    <w:rsid w:val="008056AB"/>
    <w:rPr>
      <w:vertAlign w:val="superscript"/>
    </w:rPr>
  </w:style>
  <w:style w:type="character" w:customStyle="1" w:styleId="UnresolvedMention1">
    <w:name w:val="Unresolved Mention1"/>
    <w:basedOn w:val="DefaultParagraphFont"/>
    <w:uiPriority w:val="99"/>
    <w:semiHidden/>
    <w:unhideWhenUsed/>
    <w:rsid w:val="008056AB"/>
    <w:rPr>
      <w:color w:val="605E5C"/>
      <w:shd w:val="clear" w:color="auto" w:fill="E1DFDD"/>
    </w:rPr>
  </w:style>
  <w:style w:type="character" w:customStyle="1" w:styleId="Heading4Char">
    <w:name w:val="Heading 4 Char"/>
    <w:basedOn w:val="DefaultParagraphFont"/>
    <w:link w:val="Heading4"/>
    <w:uiPriority w:val="9"/>
    <w:rsid w:val="00A35B80"/>
    <w:rPr>
      <w:rFonts w:asciiTheme="majorHAnsi" w:eastAsiaTheme="majorEastAsia" w:hAnsiTheme="majorHAnsi" w:cstheme="majorBidi"/>
      <w:b/>
      <w:bCs/>
      <w:i/>
      <w:iCs/>
      <w:sz w:val="26"/>
      <w:szCs w:val="26"/>
    </w:rPr>
  </w:style>
  <w:style w:type="paragraph" w:styleId="Header">
    <w:name w:val="header"/>
    <w:basedOn w:val="Normal"/>
    <w:link w:val="HeaderChar"/>
    <w:uiPriority w:val="99"/>
    <w:unhideWhenUsed/>
    <w:rsid w:val="00E0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98E"/>
  </w:style>
  <w:style w:type="paragraph" w:styleId="Footer">
    <w:name w:val="footer"/>
    <w:basedOn w:val="Normal"/>
    <w:link w:val="FooterChar"/>
    <w:uiPriority w:val="99"/>
    <w:unhideWhenUsed/>
    <w:rsid w:val="00E0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98E"/>
  </w:style>
  <w:style w:type="paragraph" w:customStyle="1" w:styleId="TableBullets">
    <w:name w:val="TableBullets"/>
    <w:basedOn w:val="Normal"/>
    <w:rsid w:val="00F34DD0"/>
    <w:pPr>
      <w:numPr>
        <w:numId w:val="4"/>
      </w:numPr>
    </w:pPr>
  </w:style>
  <w:style w:type="paragraph" w:styleId="BalloonText">
    <w:name w:val="Balloon Text"/>
    <w:basedOn w:val="Normal"/>
    <w:link w:val="BalloonTextChar"/>
    <w:uiPriority w:val="99"/>
    <w:semiHidden/>
    <w:unhideWhenUsed/>
    <w:rsid w:val="00B5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7BF"/>
    <w:rPr>
      <w:rFonts w:ascii="Segoe UI" w:hAnsi="Segoe UI" w:cs="Segoe UI"/>
      <w:sz w:val="18"/>
      <w:szCs w:val="18"/>
    </w:rPr>
  </w:style>
  <w:style w:type="paragraph" w:customStyle="1" w:styleId="EndNoteBibliographyTitle">
    <w:name w:val="EndNote Bibliography Title"/>
    <w:basedOn w:val="Normal"/>
    <w:link w:val="EndNoteBibliographyTitleChar"/>
    <w:rsid w:val="00117DB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17DBD"/>
    <w:rPr>
      <w:rFonts w:ascii="Calibri" w:hAnsi="Calibri" w:cs="Calibri"/>
      <w:noProof/>
      <w:lang w:val="en-US"/>
    </w:rPr>
  </w:style>
  <w:style w:type="paragraph" w:customStyle="1" w:styleId="EndNoteBibliography">
    <w:name w:val="EndNote Bibliography"/>
    <w:basedOn w:val="Normal"/>
    <w:link w:val="EndNoteBibliographyChar"/>
    <w:rsid w:val="00117DB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17DBD"/>
    <w:rPr>
      <w:rFonts w:ascii="Calibri" w:hAnsi="Calibri" w:cs="Calibri"/>
      <w:noProof/>
      <w:lang w:val="en-US"/>
    </w:rPr>
  </w:style>
  <w:style w:type="paragraph" w:customStyle="1" w:styleId="Default">
    <w:name w:val="Default"/>
    <w:rsid w:val="00DB53D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D0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3A6"/>
    <w:rPr>
      <w:sz w:val="20"/>
      <w:szCs w:val="20"/>
    </w:rPr>
  </w:style>
  <w:style w:type="character" w:styleId="FootnoteReference">
    <w:name w:val="footnote reference"/>
    <w:basedOn w:val="DefaultParagraphFont"/>
    <w:uiPriority w:val="99"/>
    <w:semiHidden/>
    <w:unhideWhenUsed/>
    <w:rsid w:val="008D03A6"/>
    <w:rPr>
      <w:vertAlign w:val="superscript"/>
    </w:rPr>
  </w:style>
  <w:style w:type="character" w:styleId="CommentReference">
    <w:name w:val="annotation reference"/>
    <w:basedOn w:val="DefaultParagraphFont"/>
    <w:uiPriority w:val="99"/>
    <w:semiHidden/>
    <w:unhideWhenUsed/>
    <w:rsid w:val="00987F94"/>
    <w:rPr>
      <w:sz w:val="16"/>
      <w:szCs w:val="16"/>
    </w:rPr>
  </w:style>
  <w:style w:type="paragraph" w:styleId="CommentText">
    <w:name w:val="annotation text"/>
    <w:basedOn w:val="Normal"/>
    <w:link w:val="CommentTextChar"/>
    <w:uiPriority w:val="99"/>
    <w:unhideWhenUsed/>
    <w:rsid w:val="00987F94"/>
    <w:pPr>
      <w:spacing w:line="240" w:lineRule="auto"/>
    </w:pPr>
    <w:rPr>
      <w:sz w:val="20"/>
      <w:szCs w:val="20"/>
    </w:rPr>
  </w:style>
  <w:style w:type="character" w:customStyle="1" w:styleId="CommentTextChar">
    <w:name w:val="Comment Text Char"/>
    <w:basedOn w:val="DefaultParagraphFont"/>
    <w:link w:val="CommentText"/>
    <w:uiPriority w:val="99"/>
    <w:rsid w:val="00987F94"/>
    <w:rPr>
      <w:sz w:val="20"/>
      <w:szCs w:val="20"/>
    </w:rPr>
  </w:style>
  <w:style w:type="paragraph" w:styleId="CommentSubject">
    <w:name w:val="annotation subject"/>
    <w:basedOn w:val="CommentText"/>
    <w:next w:val="CommentText"/>
    <w:link w:val="CommentSubjectChar"/>
    <w:uiPriority w:val="99"/>
    <w:semiHidden/>
    <w:unhideWhenUsed/>
    <w:rsid w:val="00987F94"/>
    <w:rPr>
      <w:b/>
      <w:bCs/>
    </w:rPr>
  </w:style>
  <w:style w:type="character" w:customStyle="1" w:styleId="CommentSubjectChar">
    <w:name w:val="Comment Subject Char"/>
    <w:basedOn w:val="CommentTextChar"/>
    <w:link w:val="CommentSubject"/>
    <w:uiPriority w:val="99"/>
    <w:semiHidden/>
    <w:rsid w:val="00987F94"/>
    <w:rPr>
      <w:b/>
      <w:bCs/>
      <w:sz w:val="20"/>
      <w:szCs w:val="20"/>
    </w:rPr>
  </w:style>
  <w:style w:type="character" w:styleId="FollowedHyperlink">
    <w:name w:val="FollowedHyperlink"/>
    <w:basedOn w:val="DefaultParagraphFont"/>
    <w:uiPriority w:val="99"/>
    <w:semiHidden/>
    <w:unhideWhenUsed/>
    <w:rsid w:val="00137294"/>
    <w:rPr>
      <w:color w:val="954F72" w:themeColor="followedHyperlink"/>
      <w:u w:val="single"/>
    </w:rPr>
  </w:style>
  <w:style w:type="character" w:customStyle="1" w:styleId="UnresolvedMention2">
    <w:name w:val="Unresolved Mention2"/>
    <w:basedOn w:val="DefaultParagraphFont"/>
    <w:uiPriority w:val="99"/>
    <w:semiHidden/>
    <w:unhideWhenUsed/>
    <w:rsid w:val="00C445A0"/>
    <w:rPr>
      <w:color w:val="605E5C"/>
      <w:shd w:val="clear" w:color="auto" w:fill="E1DFDD"/>
    </w:rPr>
  </w:style>
  <w:style w:type="paragraph" w:styleId="TOCHeading">
    <w:name w:val="TOC Heading"/>
    <w:basedOn w:val="Heading1"/>
    <w:next w:val="Normal"/>
    <w:uiPriority w:val="39"/>
    <w:unhideWhenUsed/>
    <w:qFormat/>
    <w:rsid w:val="00C82398"/>
    <w:pPr>
      <w:outlineLvl w:val="9"/>
    </w:pPr>
    <w:rPr>
      <w:b w:val="0"/>
      <w:bCs w:val="0"/>
      <w:color w:val="2F5496" w:themeColor="accent1" w:themeShade="BF"/>
    </w:rPr>
  </w:style>
  <w:style w:type="paragraph" w:styleId="TOC1">
    <w:name w:val="toc 1"/>
    <w:basedOn w:val="Normal"/>
    <w:next w:val="Normal"/>
    <w:autoRedefine/>
    <w:uiPriority w:val="39"/>
    <w:unhideWhenUsed/>
    <w:rsid w:val="001C07E2"/>
    <w:pPr>
      <w:tabs>
        <w:tab w:val="left" w:pos="284"/>
        <w:tab w:val="right" w:leader="dot" w:pos="9016"/>
      </w:tabs>
      <w:spacing w:after="100"/>
    </w:pPr>
  </w:style>
  <w:style w:type="paragraph" w:styleId="TOC2">
    <w:name w:val="toc 2"/>
    <w:basedOn w:val="Normal"/>
    <w:next w:val="Normal"/>
    <w:autoRedefine/>
    <w:uiPriority w:val="39"/>
    <w:unhideWhenUsed/>
    <w:rsid w:val="001C07E2"/>
    <w:pPr>
      <w:tabs>
        <w:tab w:val="right" w:leader="dot" w:pos="9016"/>
      </w:tabs>
      <w:spacing w:after="100"/>
      <w:ind w:left="567"/>
    </w:pPr>
  </w:style>
  <w:style w:type="paragraph" w:styleId="TOC3">
    <w:name w:val="toc 3"/>
    <w:basedOn w:val="Normal"/>
    <w:next w:val="Normal"/>
    <w:autoRedefine/>
    <w:uiPriority w:val="39"/>
    <w:unhideWhenUsed/>
    <w:rsid w:val="00C82398"/>
    <w:pPr>
      <w:spacing w:after="100"/>
      <w:ind w:left="440"/>
    </w:pPr>
  </w:style>
  <w:style w:type="paragraph" w:styleId="Revision">
    <w:name w:val="Revision"/>
    <w:hidden/>
    <w:uiPriority w:val="99"/>
    <w:semiHidden/>
    <w:rsid w:val="00F76FAB"/>
    <w:pPr>
      <w:spacing w:after="0" w:line="240" w:lineRule="auto"/>
    </w:pPr>
  </w:style>
  <w:style w:type="character" w:customStyle="1" w:styleId="UnresolvedMention3">
    <w:name w:val="Unresolved Mention3"/>
    <w:basedOn w:val="DefaultParagraphFont"/>
    <w:uiPriority w:val="99"/>
    <w:semiHidden/>
    <w:unhideWhenUsed/>
    <w:rsid w:val="00C15C8B"/>
    <w:rPr>
      <w:color w:val="605E5C"/>
      <w:shd w:val="clear" w:color="auto" w:fill="E1DFDD"/>
    </w:rPr>
  </w:style>
  <w:style w:type="character" w:customStyle="1" w:styleId="UnresolvedMention4">
    <w:name w:val="Unresolved Mention4"/>
    <w:basedOn w:val="DefaultParagraphFont"/>
    <w:uiPriority w:val="99"/>
    <w:semiHidden/>
    <w:unhideWhenUsed/>
    <w:rsid w:val="000133CD"/>
    <w:rPr>
      <w:color w:val="605E5C"/>
      <w:shd w:val="clear" w:color="auto" w:fill="E1DFDD"/>
    </w:rPr>
  </w:style>
  <w:style w:type="character" w:styleId="UnresolvedMention">
    <w:name w:val="Unresolved Mention"/>
    <w:basedOn w:val="DefaultParagraphFont"/>
    <w:uiPriority w:val="99"/>
    <w:semiHidden/>
    <w:unhideWhenUsed/>
    <w:rsid w:val="00D16745"/>
    <w:rPr>
      <w:color w:val="605E5C"/>
      <w:shd w:val="clear" w:color="auto" w:fill="E1DFDD"/>
    </w:rPr>
  </w:style>
  <w:style w:type="paragraph" w:customStyle="1" w:styleId="Bodytext">
    <w:name w:val="Bodytext"/>
    <w:basedOn w:val="Normal"/>
    <w:link w:val="BodytextChar"/>
    <w:qFormat/>
    <w:rsid w:val="00493561"/>
    <w:pPr>
      <w:spacing w:after="120" w:line="264" w:lineRule="auto"/>
    </w:pPr>
    <w:rPr>
      <w:rFonts w:ascii="Arial" w:hAnsi="Arial" w:cs="Arial"/>
      <w:szCs w:val="24"/>
    </w:rPr>
  </w:style>
  <w:style w:type="character" w:customStyle="1" w:styleId="BodytextChar">
    <w:name w:val="Bodytext Char"/>
    <w:basedOn w:val="DefaultParagraphFont"/>
    <w:link w:val="Bodytext"/>
    <w:rsid w:val="00493561"/>
    <w:rPr>
      <w:rFonts w:ascii="Arial" w:hAnsi="Arial" w:cs="Arial"/>
      <w:szCs w:val="24"/>
    </w:rPr>
  </w:style>
  <w:style w:type="paragraph" w:styleId="ListBullet">
    <w:name w:val="List Bullet"/>
    <w:basedOn w:val="Normal"/>
    <w:uiPriority w:val="99"/>
    <w:unhideWhenUsed/>
    <w:rsid w:val="00B05E8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5502">
      <w:bodyDiv w:val="1"/>
      <w:marLeft w:val="0"/>
      <w:marRight w:val="0"/>
      <w:marTop w:val="0"/>
      <w:marBottom w:val="0"/>
      <w:divBdr>
        <w:top w:val="none" w:sz="0" w:space="0" w:color="auto"/>
        <w:left w:val="none" w:sz="0" w:space="0" w:color="auto"/>
        <w:bottom w:val="none" w:sz="0" w:space="0" w:color="auto"/>
        <w:right w:val="none" w:sz="0" w:space="0" w:color="auto"/>
      </w:divBdr>
      <w:divsChild>
        <w:div w:id="1878352960">
          <w:marLeft w:val="0"/>
          <w:marRight w:val="0"/>
          <w:marTop w:val="0"/>
          <w:marBottom w:val="0"/>
          <w:divBdr>
            <w:top w:val="none" w:sz="0" w:space="0" w:color="auto"/>
            <w:left w:val="none" w:sz="0" w:space="0" w:color="auto"/>
            <w:bottom w:val="none" w:sz="0" w:space="0" w:color="auto"/>
            <w:right w:val="none" w:sz="0" w:space="0" w:color="auto"/>
          </w:divBdr>
        </w:div>
      </w:divsChild>
    </w:div>
    <w:div w:id="359204400">
      <w:bodyDiv w:val="1"/>
      <w:marLeft w:val="0"/>
      <w:marRight w:val="0"/>
      <w:marTop w:val="0"/>
      <w:marBottom w:val="0"/>
      <w:divBdr>
        <w:top w:val="none" w:sz="0" w:space="0" w:color="auto"/>
        <w:left w:val="none" w:sz="0" w:space="0" w:color="auto"/>
        <w:bottom w:val="none" w:sz="0" w:space="0" w:color="auto"/>
        <w:right w:val="none" w:sz="0" w:space="0" w:color="auto"/>
      </w:divBdr>
    </w:div>
    <w:div w:id="538319626">
      <w:bodyDiv w:val="1"/>
      <w:marLeft w:val="0"/>
      <w:marRight w:val="0"/>
      <w:marTop w:val="0"/>
      <w:marBottom w:val="0"/>
      <w:divBdr>
        <w:top w:val="none" w:sz="0" w:space="0" w:color="auto"/>
        <w:left w:val="none" w:sz="0" w:space="0" w:color="auto"/>
        <w:bottom w:val="none" w:sz="0" w:space="0" w:color="auto"/>
        <w:right w:val="none" w:sz="0" w:space="0" w:color="auto"/>
      </w:divBdr>
    </w:div>
    <w:div w:id="557935549">
      <w:bodyDiv w:val="1"/>
      <w:marLeft w:val="0"/>
      <w:marRight w:val="0"/>
      <w:marTop w:val="0"/>
      <w:marBottom w:val="0"/>
      <w:divBdr>
        <w:top w:val="none" w:sz="0" w:space="0" w:color="auto"/>
        <w:left w:val="none" w:sz="0" w:space="0" w:color="auto"/>
        <w:bottom w:val="none" w:sz="0" w:space="0" w:color="auto"/>
        <w:right w:val="none" w:sz="0" w:space="0" w:color="auto"/>
      </w:divBdr>
    </w:div>
    <w:div w:id="1026373927">
      <w:bodyDiv w:val="1"/>
      <w:marLeft w:val="0"/>
      <w:marRight w:val="0"/>
      <w:marTop w:val="0"/>
      <w:marBottom w:val="0"/>
      <w:divBdr>
        <w:top w:val="none" w:sz="0" w:space="0" w:color="auto"/>
        <w:left w:val="none" w:sz="0" w:space="0" w:color="auto"/>
        <w:bottom w:val="none" w:sz="0" w:space="0" w:color="auto"/>
        <w:right w:val="none" w:sz="0" w:space="0" w:color="auto"/>
      </w:divBdr>
    </w:div>
    <w:div w:id="1032220411">
      <w:bodyDiv w:val="1"/>
      <w:marLeft w:val="0"/>
      <w:marRight w:val="0"/>
      <w:marTop w:val="0"/>
      <w:marBottom w:val="0"/>
      <w:divBdr>
        <w:top w:val="none" w:sz="0" w:space="0" w:color="auto"/>
        <w:left w:val="none" w:sz="0" w:space="0" w:color="auto"/>
        <w:bottom w:val="none" w:sz="0" w:space="0" w:color="auto"/>
        <w:right w:val="none" w:sz="0" w:space="0" w:color="auto"/>
      </w:divBdr>
      <w:divsChild>
        <w:div w:id="344719428">
          <w:marLeft w:val="0"/>
          <w:marRight w:val="0"/>
          <w:marTop w:val="0"/>
          <w:marBottom w:val="0"/>
          <w:divBdr>
            <w:top w:val="none" w:sz="0" w:space="0" w:color="auto"/>
            <w:left w:val="none" w:sz="0" w:space="0" w:color="auto"/>
            <w:bottom w:val="none" w:sz="0" w:space="0" w:color="auto"/>
            <w:right w:val="none" w:sz="0" w:space="0" w:color="auto"/>
          </w:divBdr>
        </w:div>
      </w:divsChild>
    </w:div>
    <w:div w:id="1185825412">
      <w:bodyDiv w:val="1"/>
      <w:marLeft w:val="0"/>
      <w:marRight w:val="0"/>
      <w:marTop w:val="0"/>
      <w:marBottom w:val="0"/>
      <w:divBdr>
        <w:top w:val="none" w:sz="0" w:space="0" w:color="auto"/>
        <w:left w:val="none" w:sz="0" w:space="0" w:color="auto"/>
        <w:bottom w:val="none" w:sz="0" w:space="0" w:color="auto"/>
        <w:right w:val="none" w:sz="0" w:space="0" w:color="auto"/>
      </w:divBdr>
    </w:div>
    <w:div w:id="1839535435">
      <w:bodyDiv w:val="1"/>
      <w:marLeft w:val="0"/>
      <w:marRight w:val="0"/>
      <w:marTop w:val="0"/>
      <w:marBottom w:val="0"/>
      <w:divBdr>
        <w:top w:val="none" w:sz="0" w:space="0" w:color="auto"/>
        <w:left w:val="none" w:sz="0" w:space="0" w:color="auto"/>
        <w:bottom w:val="none" w:sz="0" w:space="0" w:color="auto"/>
        <w:right w:val="none" w:sz="0" w:space="0" w:color="auto"/>
      </w:divBdr>
    </w:div>
    <w:div w:id="1889297664">
      <w:bodyDiv w:val="1"/>
      <w:marLeft w:val="0"/>
      <w:marRight w:val="0"/>
      <w:marTop w:val="0"/>
      <w:marBottom w:val="0"/>
      <w:divBdr>
        <w:top w:val="none" w:sz="0" w:space="0" w:color="auto"/>
        <w:left w:val="none" w:sz="0" w:space="0" w:color="auto"/>
        <w:bottom w:val="none" w:sz="0" w:space="0" w:color="auto"/>
        <w:right w:val="none" w:sz="0" w:space="0" w:color="auto"/>
      </w:divBdr>
    </w:div>
    <w:div w:id="2137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2693D93D077428B4FF6378FF5D0A0" ma:contentTypeVersion="17" ma:contentTypeDescription="Create a new document." ma:contentTypeScope="" ma:versionID="f9b2621b369593b52324a068f23815e5">
  <xsd:schema xmlns:xsd="http://www.w3.org/2001/XMLSchema" xmlns:xs="http://www.w3.org/2001/XMLSchema" xmlns:p="http://schemas.microsoft.com/office/2006/metadata/properties" xmlns:ns3="dee43ef8-edb5-4861-837d-a814017351ac" xmlns:ns4="3cfddef3-d5ce-43c2-adf3-24ad472f0e54" targetNamespace="http://schemas.microsoft.com/office/2006/metadata/properties" ma:root="true" ma:fieldsID="1fa63bee18199b449d86cd197c8de105" ns3:_="" ns4:_="">
    <xsd:import namespace="dee43ef8-edb5-4861-837d-a814017351ac"/>
    <xsd:import namespace="3cfddef3-d5ce-43c2-adf3-24ad472f0e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43ef8-edb5-4861-837d-a814017351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fddef3-d5ce-43c2-adf3-24ad472f0e54" elementFormDefault="qualified">
    <xsd:import namespace="http://schemas.microsoft.com/office/2006/documentManagement/types"/>
    <xsd:import namespace="http://schemas.microsoft.com/office/infopath/2007/PartnerControls"/>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821B829CF1B048A0C74EE62636ECCE" ma:contentTypeVersion="11" ma:contentTypeDescription="Create a new document." ma:contentTypeScope="" ma:versionID="c55edf877d282bfdb40c3364f0a886f0">
  <xsd:schema xmlns:xsd="http://www.w3.org/2001/XMLSchema" xmlns:xs="http://www.w3.org/2001/XMLSchema" xmlns:p="http://schemas.microsoft.com/office/2006/metadata/properties" xmlns:ns3="047b5d73-03e5-48fe-9f29-8333a3e1a0ac" xmlns:ns4="3713a0d4-af6e-4cb3-a73e-6aac79fa3880" targetNamespace="http://schemas.microsoft.com/office/2006/metadata/properties" ma:root="true" ma:fieldsID="f5efe133c07552dcc7e47b51d5550c66" ns3:_="" ns4:_="">
    <xsd:import namespace="047b5d73-03e5-48fe-9f29-8333a3e1a0ac"/>
    <xsd:import namespace="3713a0d4-af6e-4cb3-a73e-6aac79fa38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b5d73-03e5-48fe-9f29-8333a3e1a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3a0d4-af6e-4cb3-a73e-6aac79fa3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CD156-9BD7-4058-9830-604DDF963AEE}">
  <ds:schemaRefs>
    <ds:schemaRef ds:uri="http://schemas.openxmlformats.org/officeDocument/2006/bibliography"/>
  </ds:schemaRefs>
</ds:datastoreItem>
</file>

<file path=customXml/itemProps2.xml><?xml version="1.0" encoding="utf-8"?>
<ds:datastoreItem xmlns:ds="http://schemas.openxmlformats.org/officeDocument/2006/customXml" ds:itemID="{286A3FA6-01EA-4F63-BD2E-081514C979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9ACA2-1B35-4ED7-98DA-36869524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43ef8-edb5-4861-837d-a814017351ac"/>
    <ds:schemaRef ds:uri="3cfddef3-d5ce-43c2-adf3-24ad472f0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162A1-EE3B-4AF2-8CC7-3C84AF9B7F19}">
  <ds:schemaRefs>
    <ds:schemaRef ds:uri="http://schemas.microsoft.com/sharepoint/v3/contenttype/forms"/>
  </ds:schemaRefs>
</ds:datastoreItem>
</file>

<file path=customXml/itemProps5.xml><?xml version="1.0" encoding="utf-8"?>
<ds:datastoreItem xmlns:ds="http://schemas.openxmlformats.org/officeDocument/2006/customXml" ds:itemID="{131AB8B9-A047-42D1-A728-0B417163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b5d73-03e5-48fe-9f29-8333a3e1a0ac"/>
    <ds:schemaRef ds:uri="3713a0d4-af6e-4cb3-a73e-6aac79fa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Deverell</dc:creator>
  <cp:keywords/>
  <dc:description/>
  <cp:lastModifiedBy>James Barrett-Lennard</cp:lastModifiedBy>
  <cp:revision>2</cp:revision>
  <cp:lastPrinted>2019-09-26T05:13:00Z</cp:lastPrinted>
  <dcterms:created xsi:type="dcterms:W3CDTF">2020-08-04T03:56:00Z</dcterms:created>
  <dcterms:modified xsi:type="dcterms:W3CDTF">2020-08-04T03:56:00Z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0x01010047821B829CF1B048A0C74EE62636ECCE</vt:lpwstr>
  </property>
</Properties>
</file>